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9DA" w:rsidRDefault="008E49DA" w:rsidP="008E49DA">
      <w:pPr>
        <w:pStyle w:val="Sansinterligne"/>
        <w:rPr>
          <w:rFonts w:ascii="Arial" w:hAnsi="Arial" w:cs="Arial"/>
          <w:b/>
          <w:color w:val="0070C0"/>
        </w:rPr>
      </w:pPr>
      <w:r w:rsidRPr="008F51C1">
        <w:rPr>
          <w:rFonts w:ascii="Arial" w:hAnsi="Arial" w:cs="Arial"/>
          <w:b/>
          <w:color w:val="0070C0"/>
        </w:rPr>
        <w:t>Fiche</w:t>
      </w:r>
      <w:r w:rsidRPr="008F51C1">
        <w:rPr>
          <w:rFonts w:ascii="Arial" w:hAnsi="Arial" w:cs="Arial"/>
          <w:b/>
          <w:color w:val="0070C0"/>
          <w:szCs w:val="21"/>
        </w:rPr>
        <w:t xml:space="preserve"> </w:t>
      </w:r>
      <w:r w:rsidRPr="008F51C1">
        <w:rPr>
          <w:rFonts w:ascii="Arial" w:hAnsi="Arial" w:cs="Arial"/>
          <w:b/>
          <w:color w:val="0070C0"/>
        </w:rPr>
        <w:t xml:space="preserve"> méthodologique</w:t>
      </w:r>
    </w:p>
    <w:p w:rsidR="007B396D" w:rsidRPr="008F51C1" w:rsidRDefault="007B396D" w:rsidP="008E49DA">
      <w:pPr>
        <w:pStyle w:val="Sansinterligne"/>
        <w:rPr>
          <w:rFonts w:ascii="Arial" w:hAnsi="Arial" w:cs="Arial"/>
          <w:b/>
          <w:color w:val="0070C0"/>
        </w:rPr>
      </w:pPr>
    </w:p>
    <w:tbl>
      <w:tblPr>
        <w:tblStyle w:val="Grilledutableau"/>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tblPr>
      <w:tblGrid>
        <w:gridCol w:w="9212"/>
      </w:tblGrid>
      <w:tr w:rsidR="007B396D" w:rsidTr="007B396D">
        <w:tc>
          <w:tcPr>
            <w:tcW w:w="9212" w:type="dxa"/>
          </w:tcPr>
          <w:p w:rsidR="007B396D" w:rsidRPr="008F51C1" w:rsidRDefault="007B396D" w:rsidP="007B396D">
            <w:pPr>
              <w:pStyle w:val="Sansinterligne"/>
              <w:rPr>
                <w:rFonts w:ascii="Arial" w:hAnsi="Arial" w:cs="Arial"/>
                <w:sz w:val="21"/>
                <w:szCs w:val="21"/>
              </w:rPr>
            </w:pPr>
            <w:r w:rsidRPr="008F51C1">
              <w:rPr>
                <w:rFonts w:ascii="Arial" w:hAnsi="Arial" w:cs="Arial"/>
                <w:sz w:val="21"/>
                <w:szCs w:val="21"/>
              </w:rPr>
              <w:t>Ce guide vise à  aider les professeurs de façon concrète et claire. Sont donc précisés :</w:t>
            </w:r>
          </w:p>
          <w:p w:rsidR="007B396D" w:rsidRPr="008F51C1" w:rsidRDefault="007B396D" w:rsidP="007B396D">
            <w:pPr>
              <w:pStyle w:val="Sansinterligne"/>
              <w:numPr>
                <w:ilvl w:val="0"/>
                <w:numId w:val="1"/>
              </w:numPr>
              <w:rPr>
                <w:rFonts w:ascii="Arial" w:hAnsi="Arial" w:cs="Arial"/>
                <w:sz w:val="21"/>
                <w:szCs w:val="21"/>
              </w:rPr>
            </w:pPr>
            <w:r w:rsidRPr="008F51C1">
              <w:rPr>
                <w:rFonts w:ascii="Arial" w:hAnsi="Arial" w:cs="Arial"/>
                <w:sz w:val="21"/>
                <w:szCs w:val="21"/>
              </w:rPr>
              <w:t>les activités langagières travaillées en classe ;</w:t>
            </w:r>
          </w:p>
          <w:p w:rsidR="007B396D" w:rsidRPr="008F51C1" w:rsidRDefault="007B396D" w:rsidP="007B396D">
            <w:pPr>
              <w:pStyle w:val="Sansinterligne"/>
              <w:numPr>
                <w:ilvl w:val="0"/>
                <w:numId w:val="1"/>
              </w:numPr>
              <w:rPr>
                <w:rFonts w:ascii="Arial" w:hAnsi="Arial" w:cs="Arial"/>
                <w:sz w:val="21"/>
                <w:szCs w:val="21"/>
              </w:rPr>
            </w:pPr>
            <w:r w:rsidRPr="008F51C1">
              <w:rPr>
                <w:rFonts w:ascii="Arial" w:hAnsi="Arial" w:cs="Arial"/>
                <w:sz w:val="21"/>
                <w:szCs w:val="21"/>
              </w:rPr>
              <w:t>la thématique du programme ;</w:t>
            </w:r>
          </w:p>
          <w:p w:rsidR="007B396D" w:rsidRPr="008F51C1" w:rsidRDefault="007B396D" w:rsidP="007B396D">
            <w:pPr>
              <w:pStyle w:val="Sansinterligne"/>
              <w:numPr>
                <w:ilvl w:val="0"/>
                <w:numId w:val="1"/>
              </w:numPr>
              <w:rPr>
                <w:rFonts w:ascii="Arial" w:hAnsi="Arial" w:cs="Arial"/>
                <w:sz w:val="21"/>
                <w:szCs w:val="21"/>
              </w:rPr>
            </w:pPr>
            <w:r w:rsidRPr="008F51C1">
              <w:rPr>
                <w:rFonts w:ascii="Arial" w:hAnsi="Arial" w:cs="Arial"/>
                <w:sz w:val="21"/>
                <w:szCs w:val="21"/>
              </w:rPr>
              <w:t>les connaissances et les compétences associées, les attendus de la part de l’élève pour aider le professeur à construire des situations d’entraînement et d’évaluation ;</w:t>
            </w:r>
          </w:p>
          <w:p w:rsidR="007B396D" w:rsidRPr="008F51C1" w:rsidRDefault="007B396D" w:rsidP="007B396D">
            <w:pPr>
              <w:pStyle w:val="Sansinterligne"/>
              <w:numPr>
                <w:ilvl w:val="0"/>
                <w:numId w:val="1"/>
              </w:numPr>
              <w:rPr>
                <w:rFonts w:ascii="Arial" w:hAnsi="Arial" w:cs="Arial"/>
                <w:sz w:val="21"/>
                <w:szCs w:val="21"/>
              </w:rPr>
            </w:pPr>
            <w:r w:rsidRPr="008F51C1">
              <w:rPr>
                <w:rFonts w:ascii="Arial" w:hAnsi="Arial" w:cs="Arial"/>
                <w:sz w:val="21"/>
                <w:szCs w:val="21"/>
              </w:rPr>
              <w:t>les objectifs linguistiques et la langue travaillée lors de la séquence qui constituent des repères essentiels pour le professeur ;</w:t>
            </w:r>
          </w:p>
          <w:p w:rsidR="007B396D" w:rsidRPr="008F51C1" w:rsidRDefault="007B396D" w:rsidP="007B396D">
            <w:pPr>
              <w:pStyle w:val="Sansinterligne"/>
              <w:numPr>
                <w:ilvl w:val="0"/>
                <w:numId w:val="1"/>
              </w:numPr>
              <w:rPr>
                <w:rFonts w:ascii="Arial" w:hAnsi="Arial" w:cs="Arial"/>
                <w:sz w:val="21"/>
                <w:szCs w:val="21"/>
              </w:rPr>
            </w:pPr>
            <w:r w:rsidRPr="008F51C1">
              <w:rPr>
                <w:rFonts w:ascii="Arial" w:hAnsi="Arial" w:cs="Arial"/>
                <w:sz w:val="21"/>
                <w:szCs w:val="21"/>
              </w:rPr>
              <w:t>les supports (audio, texte, vidéo) ;</w:t>
            </w:r>
          </w:p>
          <w:p w:rsidR="007B396D" w:rsidRPr="008F51C1" w:rsidRDefault="007B396D" w:rsidP="007B396D">
            <w:pPr>
              <w:pStyle w:val="Sansinterligne"/>
              <w:numPr>
                <w:ilvl w:val="0"/>
                <w:numId w:val="1"/>
              </w:numPr>
              <w:rPr>
                <w:rFonts w:ascii="Arial" w:hAnsi="Arial" w:cs="Arial"/>
                <w:sz w:val="21"/>
                <w:szCs w:val="21"/>
              </w:rPr>
            </w:pPr>
            <w:r w:rsidRPr="008F51C1">
              <w:rPr>
                <w:rFonts w:ascii="Arial" w:hAnsi="Arial" w:cs="Arial"/>
                <w:sz w:val="21"/>
                <w:szCs w:val="21"/>
              </w:rPr>
              <w:t>le matériel nécessaire pour la mise en œuvre des séances.</w:t>
            </w:r>
          </w:p>
          <w:p w:rsidR="007B396D" w:rsidRPr="008F51C1" w:rsidRDefault="007B396D" w:rsidP="007B396D">
            <w:pPr>
              <w:pStyle w:val="Sansinterligne"/>
              <w:rPr>
                <w:rFonts w:ascii="Arial" w:hAnsi="Arial" w:cs="Arial"/>
                <w:sz w:val="21"/>
                <w:szCs w:val="21"/>
              </w:rPr>
            </w:pPr>
          </w:p>
          <w:p w:rsidR="007B396D" w:rsidRPr="008F51C1" w:rsidRDefault="007B396D" w:rsidP="007B396D">
            <w:pPr>
              <w:pStyle w:val="Sansinterligne"/>
              <w:rPr>
                <w:rFonts w:ascii="Arial" w:hAnsi="Arial" w:cs="Arial"/>
                <w:sz w:val="21"/>
                <w:szCs w:val="21"/>
              </w:rPr>
            </w:pPr>
            <w:r w:rsidRPr="008F51C1">
              <w:rPr>
                <w:rFonts w:ascii="Arial" w:hAnsi="Arial" w:cs="Arial"/>
                <w:sz w:val="21"/>
                <w:szCs w:val="21"/>
              </w:rPr>
              <w:t>Les exemples proposés peuvent être transposés à d’autres thématiques et visent à mettre en évidence quelques moments clés communs à toute séance de langue :</w:t>
            </w:r>
          </w:p>
          <w:p w:rsidR="007B396D" w:rsidRPr="008F51C1" w:rsidRDefault="007B396D" w:rsidP="007B396D">
            <w:pPr>
              <w:pStyle w:val="Sansinterligne"/>
              <w:numPr>
                <w:ilvl w:val="0"/>
                <w:numId w:val="2"/>
              </w:numPr>
              <w:rPr>
                <w:rFonts w:ascii="Arial" w:hAnsi="Arial" w:cs="Arial"/>
                <w:sz w:val="21"/>
                <w:szCs w:val="21"/>
              </w:rPr>
            </w:pPr>
            <w:r w:rsidRPr="008F51C1">
              <w:rPr>
                <w:rFonts w:ascii="Arial" w:hAnsi="Arial" w:cs="Arial"/>
                <w:sz w:val="21"/>
                <w:szCs w:val="21"/>
              </w:rPr>
              <w:t>phase de rituels de début de séance ;</w:t>
            </w:r>
          </w:p>
          <w:p w:rsidR="007B396D" w:rsidRPr="008F51C1" w:rsidRDefault="007B396D" w:rsidP="007B396D">
            <w:pPr>
              <w:pStyle w:val="Sansinterligne"/>
              <w:numPr>
                <w:ilvl w:val="0"/>
                <w:numId w:val="2"/>
              </w:numPr>
              <w:rPr>
                <w:rFonts w:ascii="Arial" w:hAnsi="Arial" w:cs="Arial"/>
                <w:sz w:val="21"/>
                <w:szCs w:val="21"/>
              </w:rPr>
            </w:pPr>
            <w:r w:rsidRPr="008F51C1">
              <w:rPr>
                <w:rFonts w:ascii="Arial" w:hAnsi="Arial" w:cs="Arial"/>
                <w:sz w:val="21"/>
                <w:szCs w:val="21"/>
              </w:rPr>
              <w:t>découverte de la thématique ou phase de rappel ;</w:t>
            </w:r>
          </w:p>
          <w:p w:rsidR="007B396D" w:rsidRPr="008F51C1" w:rsidRDefault="007B396D" w:rsidP="007B396D">
            <w:pPr>
              <w:pStyle w:val="Sansinterligne"/>
              <w:numPr>
                <w:ilvl w:val="0"/>
                <w:numId w:val="2"/>
              </w:numPr>
              <w:rPr>
                <w:rFonts w:ascii="Arial" w:hAnsi="Arial" w:cs="Arial"/>
                <w:sz w:val="21"/>
                <w:szCs w:val="21"/>
              </w:rPr>
            </w:pPr>
            <w:r w:rsidRPr="008F51C1">
              <w:rPr>
                <w:rFonts w:ascii="Arial" w:hAnsi="Arial" w:cs="Arial"/>
                <w:sz w:val="21"/>
                <w:szCs w:val="21"/>
              </w:rPr>
              <w:t>phase de mémorisation par la répétition, par le jeu notamment ;</w:t>
            </w:r>
          </w:p>
          <w:p w:rsidR="007B396D" w:rsidRPr="008F51C1" w:rsidRDefault="007B396D" w:rsidP="007B396D">
            <w:pPr>
              <w:pStyle w:val="Sansinterligne"/>
              <w:numPr>
                <w:ilvl w:val="0"/>
                <w:numId w:val="2"/>
              </w:numPr>
              <w:rPr>
                <w:rFonts w:ascii="Arial" w:hAnsi="Arial" w:cs="Arial"/>
                <w:sz w:val="21"/>
                <w:szCs w:val="21"/>
              </w:rPr>
            </w:pPr>
            <w:r w:rsidRPr="008F51C1">
              <w:rPr>
                <w:rFonts w:ascii="Arial" w:hAnsi="Arial" w:cs="Arial"/>
                <w:sz w:val="21"/>
                <w:szCs w:val="21"/>
              </w:rPr>
              <w:t>appropriation de la langue travaillée grâce à différents ateliers de manipulation ;</w:t>
            </w:r>
          </w:p>
          <w:p w:rsidR="007B396D" w:rsidRPr="008F51C1" w:rsidRDefault="007B396D" w:rsidP="007B396D">
            <w:pPr>
              <w:pStyle w:val="Sansinterligne"/>
              <w:numPr>
                <w:ilvl w:val="0"/>
                <w:numId w:val="2"/>
              </w:numPr>
              <w:rPr>
                <w:rFonts w:ascii="Arial" w:hAnsi="Arial" w:cs="Arial"/>
                <w:sz w:val="21"/>
                <w:szCs w:val="21"/>
              </w:rPr>
            </w:pPr>
            <w:r w:rsidRPr="008F51C1">
              <w:rPr>
                <w:rFonts w:ascii="Arial" w:hAnsi="Arial" w:cs="Arial"/>
                <w:sz w:val="21"/>
                <w:szCs w:val="21"/>
              </w:rPr>
              <w:t>mise en voix, interprétation.</w:t>
            </w:r>
          </w:p>
          <w:p w:rsidR="007B396D" w:rsidRPr="008F51C1" w:rsidRDefault="007B396D" w:rsidP="007B396D">
            <w:pPr>
              <w:pStyle w:val="Sansinterligne"/>
              <w:rPr>
                <w:rFonts w:ascii="Arial" w:hAnsi="Arial" w:cs="Arial"/>
                <w:sz w:val="21"/>
                <w:szCs w:val="21"/>
              </w:rPr>
            </w:pPr>
          </w:p>
          <w:p w:rsidR="007B396D" w:rsidRPr="008F51C1" w:rsidRDefault="007B396D" w:rsidP="007B396D">
            <w:pPr>
              <w:pStyle w:val="Sansinterligne"/>
              <w:rPr>
                <w:rFonts w:ascii="Arial" w:hAnsi="Arial" w:cs="Arial"/>
                <w:sz w:val="21"/>
                <w:szCs w:val="21"/>
              </w:rPr>
            </w:pPr>
            <w:r w:rsidRPr="008F51C1">
              <w:rPr>
                <w:rFonts w:ascii="Arial" w:hAnsi="Arial" w:cs="Arial"/>
                <w:sz w:val="21"/>
                <w:szCs w:val="21"/>
              </w:rPr>
              <w:t>Une série de questions simples peut guider les professeurs dans la mise en œuvre de l’enseignement des langues vivantes à l’école :</w:t>
            </w:r>
          </w:p>
          <w:p w:rsidR="007B396D" w:rsidRPr="008F51C1" w:rsidRDefault="007B396D" w:rsidP="007B396D">
            <w:pPr>
              <w:pStyle w:val="Sansinterligne"/>
              <w:numPr>
                <w:ilvl w:val="0"/>
                <w:numId w:val="3"/>
              </w:numPr>
              <w:rPr>
                <w:rFonts w:ascii="Arial" w:hAnsi="Arial" w:cs="Arial"/>
                <w:sz w:val="21"/>
                <w:szCs w:val="21"/>
              </w:rPr>
            </w:pPr>
            <w:r w:rsidRPr="008F51C1">
              <w:rPr>
                <w:rFonts w:ascii="Arial" w:hAnsi="Arial" w:cs="Arial"/>
                <w:sz w:val="21"/>
                <w:szCs w:val="21"/>
              </w:rPr>
              <w:t>Que savent dire/faire les élèves en fin de séance ?</w:t>
            </w:r>
          </w:p>
          <w:p w:rsidR="007B396D" w:rsidRPr="008F51C1" w:rsidRDefault="007B396D" w:rsidP="007B396D">
            <w:pPr>
              <w:pStyle w:val="Sansinterligne"/>
              <w:numPr>
                <w:ilvl w:val="0"/>
                <w:numId w:val="3"/>
              </w:numPr>
              <w:rPr>
                <w:rFonts w:ascii="Arial" w:hAnsi="Arial" w:cs="Arial"/>
                <w:sz w:val="21"/>
                <w:szCs w:val="21"/>
              </w:rPr>
            </w:pPr>
            <w:r w:rsidRPr="008F51C1">
              <w:rPr>
                <w:rFonts w:ascii="Arial" w:hAnsi="Arial" w:cs="Arial"/>
                <w:sz w:val="21"/>
                <w:szCs w:val="21"/>
              </w:rPr>
              <w:t>Qu’ont appris les élèves en fin de séance ?</w:t>
            </w:r>
          </w:p>
          <w:p w:rsidR="007B396D" w:rsidRDefault="007B396D" w:rsidP="007B396D">
            <w:pPr>
              <w:pStyle w:val="Sansinterligne"/>
              <w:numPr>
                <w:ilvl w:val="0"/>
                <w:numId w:val="3"/>
              </w:numPr>
              <w:rPr>
                <w:rFonts w:ascii="Arial" w:hAnsi="Arial" w:cs="Arial"/>
                <w:sz w:val="21"/>
                <w:szCs w:val="21"/>
              </w:rPr>
            </w:pPr>
            <w:r w:rsidRPr="008F51C1">
              <w:rPr>
                <w:rFonts w:ascii="Arial" w:hAnsi="Arial" w:cs="Arial"/>
                <w:sz w:val="21"/>
                <w:szCs w:val="21"/>
              </w:rPr>
              <w:t>Comment remobiliser ce que les élèves ont appris sur le moyen terme ? sur le plus long terme ?</w:t>
            </w:r>
          </w:p>
          <w:p w:rsidR="007B396D" w:rsidRPr="009646BD" w:rsidRDefault="007B396D" w:rsidP="007B396D">
            <w:pPr>
              <w:pStyle w:val="Sansinterligne"/>
              <w:rPr>
                <w:rFonts w:ascii="Arial" w:hAnsi="Arial" w:cs="Arial"/>
              </w:rPr>
            </w:pPr>
          </w:p>
          <w:p w:rsidR="007B396D" w:rsidRPr="009646BD" w:rsidRDefault="007B396D" w:rsidP="007B396D">
            <w:pPr>
              <w:pStyle w:val="Sansinterligne"/>
              <w:rPr>
                <w:rFonts w:ascii="Arial" w:hAnsi="Arial" w:cs="Arial"/>
                <w:b/>
                <w:sz w:val="22"/>
                <w:szCs w:val="22"/>
              </w:rPr>
            </w:pPr>
            <w:r w:rsidRPr="009646BD">
              <w:rPr>
                <w:rFonts w:ascii="Arial" w:hAnsi="Arial" w:cs="Arial"/>
                <w:b/>
                <w:sz w:val="22"/>
                <w:szCs w:val="22"/>
              </w:rPr>
              <w:t>Construire une progression</w:t>
            </w:r>
          </w:p>
          <w:p w:rsidR="007B396D" w:rsidRDefault="007B396D" w:rsidP="007B396D">
            <w:pPr>
              <w:pStyle w:val="Sansinterligne"/>
              <w:rPr>
                <w:rFonts w:ascii="Arial" w:hAnsi="Arial" w:cs="Arial"/>
                <w:sz w:val="21"/>
                <w:szCs w:val="21"/>
              </w:rPr>
            </w:pPr>
            <w:r w:rsidRPr="009646BD">
              <w:rPr>
                <w:rFonts w:ascii="Arial" w:hAnsi="Arial" w:cs="Arial"/>
                <w:sz w:val="21"/>
                <w:szCs w:val="21"/>
              </w:rPr>
              <w:t>Le professeur des écoles veillera à mettre en place des séquences et des situations d’apprentissage dont le sens est compris par les élèves et qui les motivent. Il est important que les apprentissages passent également par la mémorisation, afin d’enrichir le lexique et d’automatiser progressivement la phonologie et les structures propres à la langue étudiée.</w:t>
            </w:r>
          </w:p>
          <w:p w:rsidR="007B396D" w:rsidRPr="009646BD" w:rsidRDefault="007B396D" w:rsidP="007B396D">
            <w:pPr>
              <w:pStyle w:val="Sansinterligne"/>
              <w:rPr>
                <w:rFonts w:ascii="Arial" w:hAnsi="Arial" w:cs="Arial"/>
              </w:rPr>
            </w:pPr>
          </w:p>
          <w:p w:rsidR="007B396D" w:rsidRPr="009646BD" w:rsidRDefault="007B396D" w:rsidP="007B396D">
            <w:pPr>
              <w:pStyle w:val="Sansinterligne"/>
              <w:tabs>
                <w:tab w:val="left" w:pos="708"/>
                <w:tab w:val="left" w:pos="1416"/>
                <w:tab w:val="left" w:pos="2124"/>
                <w:tab w:val="left" w:pos="2540"/>
              </w:tabs>
              <w:rPr>
                <w:rFonts w:ascii="Arial" w:hAnsi="Arial" w:cs="Arial"/>
                <w:b/>
                <w:sz w:val="22"/>
                <w:szCs w:val="22"/>
              </w:rPr>
            </w:pPr>
            <w:r w:rsidRPr="009646BD">
              <w:rPr>
                <w:rFonts w:ascii="Arial" w:hAnsi="Arial" w:cs="Arial"/>
                <w:b/>
                <w:sz w:val="22"/>
                <w:szCs w:val="22"/>
              </w:rPr>
              <w:t>Bâtir une séquence</w:t>
            </w:r>
          </w:p>
          <w:p w:rsidR="007B396D" w:rsidRPr="009646BD" w:rsidRDefault="007B396D" w:rsidP="007B396D">
            <w:pPr>
              <w:pStyle w:val="Sansinterligne"/>
              <w:rPr>
                <w:rFonts w:ascii="Arial" w:hAnsi="Arial" w:cs="Arial"/>
                <w:sz w:val="21"/>
                <w:szCs w:val="21"/>
                <w:shd w:val="clear" w:color="auto" w:fill="FFFFFF"/>
              </w:rPr>
            </w:pPr>
            <w:r w:rsidRPr="009646BD">
              <w:rPr>
                <w:rFonts w:ascii="Arial" w:hAnsi="Arial" w:cs="Arial"/>
                <w:sz w:val="21"/>
                <w:szCs w:val="21"/>
              </w:rPr>
              <w:t xml:space="preserve">À chaque séquence correspond un scénario pédagogique qui comporte une série situations de communication ; ce scénario est fédéré par un projet permettant à l’élève de réinvestir les compétences et les connaissances travaillées. Chaque séquence est donc au service du développement de compétences et de connaissances. Elle alterne les formes sociales de travail des élèves (travail individuel, en plénière, en binômes, en petits groupes,...) qui sont adaptées à l’activité réalisée. En cela, </w:t>
            </w:r>
            <w:hyperlink r:id="rId7">
              <w:r w:rsidRPr="009646BD">
                <w:rPr>
                  <w:rFonts w:ascii="Arial" w:hAnsi="Arial" w:cs="Arial"/>
                  <w:sz w:val="21"/>
                  <w:szCs w:val="21"/>
                  <w:u w:color="00009E"/>
                </w:rPr>
                <w:t>eTwinning</w:t>
              </w:r>
              <w:r w:rsidRPr="009646BD">
                <w:rPr>
                  <w:rFonts w:ascii="Arial" w:hAnsi="Arial" w:cs="Arial"/>
                  <w:sz w:val="21"/>
                  <w:szCs w:val="21"/>
                </w:rPr>
                <w:t xml:space="preserve"> </w:t>
              </w:r>
            </w:hyperlink>
            <w:r w:rsidRPr="009646BD">
              <w:rPr>
                <w:rFonts w:ascii="Arial" w:hAnsi="Arial" w:cs="Arial"/>
                <w:sz w:val="21"/>
                <w:szCs w:val="21"/>
              </w:rPr>
              <w:t>peut constituer un espace idéal pour mener des projets en langue avec des partenaires européens. Ces projets reposent sur des enjeux de communication concrets pour les élèves, ils peuvent être menés sur le court ou le moyen terme.</w:t>
            </w:r>
          </w:p>
          <w:p w:rsidR="007B396D" w:rsidRPr="009646BD" w:rsidRDefault="007B396D" w:rsidP="007B396D">
            <w:pPr>
              <w:pStyle w:val="Sansinterligne"/>
              <w:rPr>
                <w:rFonts w:ascii="Arial" w:eastAsia="Times New Roman" w:hAnsi="Arial" w:cs="Arial"/>
                <w:color w:val="000000"/>
                <w:shd w:val="clear" w:color="auto" w:fill="FFFFFF"/>
              </w:rPr>
            </w:pPr>
          </w:p>
          <w:p w:rsidR="007B396D" w:rsidRPr="009646BD" w:rsidRDefault="007B396D" w:rsidP="007B396D">
            <w:pPr>
              <w:pStyle w:val="Sansinterligne"/>
              <w:rPr>
                <w:rFonts w:ascii="Arial" w:hAnsi="Arial" w:cs="Arial"/>
                <w:b/>
                <w:sz w:val="22"/>
                <w:szCs w:val="22"/>
              </w:rPr>
            </w:pPr>
            <w:r w:rsidRPr="009646BD">
              <w:rPr>
                <w:rFonts w:ascii="Arial" w:hAnsi="Arial" w:cs="Arial"/>
                <w:b/>
                <w:sz w:val="22"/>
                <w:szCs w:val="22"/>
              </w:rPr>
              <w:t>Choisir les ressources et organiser les supports de cours</w:t>
            </w:r>
          </w:p>
          <w:p w:rsidR="007B396D" w:rsidRPr="009646BD" w:rsidRDefault="007B396D" w:rsidP="007B396D">
            <w:pPr>
              <w:pStyle w:val="Sansinterligne"/>
              <w:rPr>
                <w:rFonts w:ascii="Arial" w:hAnsi="Arial" w:cs="Arial"/>
                <w:sz w:val="21"/>
                <w:szCs w:val="21"/>
              </w:rPr>
            </w:pPr>
            <w:r w:rsidRPr="009646BD">
              <w:rPr>
                <w:rFonts w:ascii="Arial" w:hAnsi="Arial" w:cs="Arial"/>
                <w:sz w:val="21"/>
                <w:szCs w:val="21"/>
              </w:rPr>
              <w:t>Dès le début de l’apprentissage, les supports sont essentiels pour exposer les élèves à une langue authentique, sous sa forme orale notamment. On favorisera l’exploitation de documents authentiques dès lors qu’ils donnent du sens à la démarche pédagogique retenue. Leur dimension culturelle est aussi importante que leur contribution potentielle au développement des compétences et connaissances travaillées. Le numérique permet de diversifier les supports de cours et les situations d’exposition à la langue en classe et en dehors de la classe.</w:t>
            </w:r>
          </w:p>
          <w:p w:rsidR="007B396D" w:rsidRDefault="007B396D" w:rsidP="007B396D"/>
          <w:p w:rsidR="007B396D" w:rsidRDefault="007B396D" w:rsidP="008E49DA">
            <w:pPr>
              <w:pStyle w:val="Sansinterligne"/>
              <w:rPr>
                <w:rFonts w:ascii="Arial" w:hAnsi="Arial" w:cs="Arial"/>
                <w:sz w:val="20"/>
                <w:szCs w:val="20"/>
              </w:rPr>
            </w:pPr>
          </w:p>
        </w:tc>
      </w:tr>
    </w:tbl>
    <w:p w:rsidR="008E49DA" w:rsidRPr="008F51C1" w:rsidRDefault="008E49DA" w:rsidP="008E49DA">
      <w:pPr>
        <w:pStyle w:val="Sansinterligne"/>
        <w:rPr>
          <w:rFonts w:ascii="Arial" w:hAnsi="Arial" w:cs="Arial"/>
          <w:sz w:val="20"/>
          <w:szCs w:val="20"/>
        </w:rPr>
      </w:pPr>
    </w:p>
    <w:p w:rsidR="008609EB" w:rsidRDefault="008609EB"/>
    <w:sectPr w:rsidR="008609EB" w:rsidSect="008609EB">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DD2" w:rsidRDefault="000F7DD2" w:rsidP="008E49DA">
      <w:r>
        <w:separator/>
      </w:r>
    </w:p>
  </w:endnote>
  <w:endnote w:type="continuationSeparator" w:id="0">
    <w:p w:rsidR="000F7DD2" w:rsidRDefault="000F7DD2" w:rsidP="008E49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DD2" w:rsidRDefault="000F7DD2" w:rsidP="008E49DA">
      <w:r>
        <w:separator/>
      </w:r>
    </w:p>
  </w:footnote>
  <w:footnote w:type="continuationSeparator" w:id="0">
    <w:p w:rsidR="000F7DD2" w:rsidRDefault="000F7DD2" w:rsidP="008E4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9DA" w:rsidRPr="000139E5" w:rsidRDefault="008E49DA" w:rsidP="008E49DA">
    <w:pPr>
      <w:pStyle w:val="En-tte"/>
      <w:jc w:val="right"/>
      <w:rPr>
        <w:rFonts w:ascii="Arial" w:hAnsi="Arial" w:cs="Arial"/>
        <w:sz w:val="22"/>
        <w:szCs w:val="22"/>
      </w:rPr>
    </w:pPr>
    <w:r>
      <w:rPr>
        <w:rFonts w:ascii="Arial" w:hAnsi="Arial" w:cs="Arial"/>
        <w:sz w:val="22"/>
        <w:szCs w:val="22"/>
      </w:rPr>
      <w:t xml:space="preserve">Extrait </w:t>
    </w:r>
    <w:r w:rsidRPr="000139E5">
      <w:rPr>
        <w:rFonts w:ascii="Arial" w:hAnsi="Arial" w:cs="Arial"/>
        <w:sz w:val="22"/>
        <w:szCs w:val="22"/>
      </w:rPr>
      <w:t>du guide « </w:t>
    </w:r>
    <w:r w:rsidRPr="000139E5">
      <w:rPr>
        <w:rFonts w:ascii="Arial" w:hAnsi="Arial" w:cs="Arial"/>
        <w:i/>
        <w:sz w:val="22"/>
        <w:szCs w:val="22"/>
      </w:rPr>
      <w:t>Oser les LVE à l’école</w:t>
    </w:r>
    <w:r w:rsidRPr="000139E5">
      <w:rPr>
        <w:rFonts w:ascii="Arial" w:hAnsi="Arial" w:cs="Arial"/>
        <w:sz w:val="22"/>
        <w:szCs w:val="22"/>
      </w:rPr>
      <w:t> »</w:t>
    </w:r>
  </w:p>
  <w:p w:rsidR="008E49DA" w:rsidRDefault="008E49D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C09D6"/>
    <w:multiLevelType w:val="hybridMultilevel"/>
    <w:tmpl w:val="FDEA8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ED1E83"/>
    <w:multiLevelType w:val="hybridMultilevel"/>
    <w:tmpl w:val="8AEC1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D6709C7"/>
    <w:multiLevelType w:val="hybridMultilevel"/>
    <w:tmpl w:val="916A1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E49DA"/>
    <w:rsid w:val="000F7DD2"/>
    <w:rsid w:val="007B396D"/>
    <w:rsid w:val="008609EB"/>
    <w:rsid w:val="00877E1C"/>
    <w:rsid w:val="008E49DA"/>
    <w:rsid w:val="00A62D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DA"/>
    <w:pPr>
      <w:spacing w:after="0" w:line="240" w:lineRule="auto"/>
    </w:pPr>
    <w:rPr>
      <w:rFonts w:ascii="Times New Roman" w:eastAsiaTheme="minorEastAsia"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E49DA"/>
    <w:pPr>
      <w:spacing w:after="0" w:line="240" w:lineRule="auto"/>
    </w:pPr>
    <w:rPr>
      <w:rFonts w:ascii="Times New Roman" w:eastAsiaTheme="minorEastAsia" w:hAnsi="Times New Roman"/>
      <w:sz w:val="24"/>
      <w:szCs w:val="24"/>
      <w:lang w:eastAsia="fr-FR"/>
    </w:rPr>
  </w:style>
  <w:style w:type="table" w:styleId="Grilledutableau">
    <w:name w:val="Table Grid"/>
    <w:basedOn w:val="TableauNormal"/>
    <w:uiPriority w:val="59"/>
    <w:rsid w:val="008E49DA"/>
    <w:pPr>
      <w:spacing w:after="0" w:line="240" w:lineRule="auto"/>
    </w:pPr>
    <w:rPr>
      <w:rFonts w:ascii="Times New Roman" w:eastAsiaTheme="minorEastAsia" w:hAnsi="Times New Roman"/>
      <w:sz w:val="24"/>
      <w:szCs w:val="24"/>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8E49DA"/>
    <w:pPr>
      <w:tabs>
        <w:tab w:val="center" w:pos="4536"/>
        <w:tab w:val="right" w:pos="9072"/>
      </w:tabs>
    </w:pPr>
  </w:style>
  <w:style w:type="character" w:customStyle="1" w:styleId="En-tteCar">
    <w:name w:val="En-tête Car"/>
    <w:basedOn w:val="Policepardfaut"/>
    <w:link w:val="En-tte"/>
    <w:uiPriority w:val="99"/>
    <w:rsid w:val="008E49DA"/>
    <w:rPr>
      <w:rFonts w:ascii="Times New Roman" w:eastAsiaTheme="minorEastAsia" w:hAnsi="Times New Roman"/>
      <w:sz w:val="24"/>
      <w:szCs w:val="24"/>
      <w:lang w:eastAsia="fr-FR"/>
    </w:rPr>
  </w:style>
  <w:style w:type="paragraph" w:styleId="Pieddepage">
    <w:name w:val="footer"/>
    <w:basedOn w:val="Normal"/>
    <w:link w:val="PieddepageCar"/>
    <w:uiPriority w:val="99"/>
    <w:semiHidden/>
    <w:unhideWhenUsed/>
    <w:rsid w:val="008E49DA"/>
    <w:pPr>
      <w:tabs>
        <w:tab w:val="center" w:pos="4536"/>
        <w:tab w:val="right" w:pos="9072"/>
      </w:tabs>
    </w:pPr>
  </w:style>
  <w:style w:type="character" w:customStyle="1" w:styleId="PieddepageCar">
    <w:name w:val="Pied de page Car"/>
    <w:basedOn w:val="Policepardfaut"/>
    <w:link w:val="Pieddepage"/>
    <w:uiPriority w:val="99"/>
    <w:semiHidden/>
    <w:rsid w:val="008E49DA"/>
    <w:rPr>
      <w:rFonts w:ascii="Times New Roman" w:eastAsiaTheme="minorEastAsia"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twinning.net/fr/pub/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483</Words>
  <Characters>2662</Characters>
  <Application>Microsoft Office Word</Application>
  <DocSecurity>0</DocSecurity>
  <Lines>22</Lines>
  <Paragraphs>6</Paragraphs>
  <ScaleCrop>false</ScaleCrop>
  <Company>PHOTON</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2</cp:revision>
  <dcterms:created xsi:type="dcterms:W3CDTF">2019-09-25T07:06:00Z</dcterms:created>
  <dcterms:modified xsi:type="dcterms:W3CDTF">2019-09-25T07:16:00Z</dcterms:modified>
</cp:coreProperties>
</file>