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DA" w:rsidRDefault="00DA50DA" w:rsidP="00022531">
      <w:pPr>
        <w:pStyle w:val="Sansinterligne"/>
        <w:rPr>
          <w:rFonts w:ascii="Arial" w:hAnsi="Arial" w:cs="Arial"/>
          <w:b/>
          <w:color w:val="0070C0"/>
        </w:rPr>
      </w:pPr>
    </w:p>
    <w:p w:rsidR="00022531" w:rsidRDefault="00022531" w:rsidP="00022531">
      <w:pPr>
        <w:pStyle w:val="Sansinterligne"/>
        <w:rPr>
          <w:rFonts w:ascii="Arial" w:hAnsi="Arial" w:cs="Arial"/>
          <w:b/>
          <w:color w:val="0070C0"/>
        </w:rPr>
      </w:pPr>
      <w:r>
        <w:rPr>
          <w:rFonts w:ascii="Arial" w:hAnsi="Arial" w:cs="Arial"/>
          <w:b/>
          <w:color w:val="0070C0"/>
        </w:rPr>
        <w:t>Des rituels adaptés aux situations d’apprentissage</w:t>
      </w:r>
    </w:p>
    <w:p w:rsidR="00DA50DA" w:rsidRPr="008F51C1" w:rsidRDefault="00DA50DA" w:rsidP="00022531">
      <w:pPr>
        <w:pStyle w:val="Sansinterligne"/>
        <w:rPr>
          <w:rFonts w:ascii="Arial" w:hAnsi="Arial" w:cs="Arial"/>
          <w:b/>
          <w:color w:val="0070C0"/>
        </w:rPr>
      </w:pPr>
    </w:p>
    <w:tbl>
      <w:tblPr>
        <w:tblStyle w:val="Grilledutableau"/>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Look w:val="04A0"/>
      </w:tblPr>
      <w:tblGrid>
        <w:gridCol w:w="9212"/>
      </w:tblGrid>
      <w:tr w:rsidR="00DA50DA" w:rsidTr="00DA50DA">
        <w:tc>
          <w:tcPr>
            <w:tcW w:w="9212" w:type="dxa"/>
          </w:tcPr>
          <w:p w:rsidR="00DA50DA" w:rsidRPr="00B109A8" w:rsidRDefault="00DA50DA" w:rsidP="00DA50DA">
            <w:pPr>
              <w:rPr>
                <w:rFonts w:ascii="Arial" w:eastAsia="Times New Roman" w:hAnsi="Arial" w:cs="Arial"/>
                <w:b/>
                <w:color w:val="000000"/>
                <w:sz w:val="21"/>
                <w:szCs w:val="21"/>
                <w:shd w:val="clear" w:color="auto" w:fill="FFFFFF"/>
              </w:rPr>
            </w:pPr>
            <w:r w:rsidRPr="00B109A8">
              <w:rPr>
                <w:rFonts w:ascii="Arial" w:eastAsia="Times New Roman" w:hAnsi="Arial" w:cs="Arial"/>
                <w:b/>
                <w:color w:val="000000"/>
                <w:sz w:val="21"/>
                <w:szCs w:val="21"/>
                <w:shd w:val="clear" w:color="auto" w:fill="FFFFFF"/>
              </w:rPr>
              <w:t>La place des rituels</w:t>
            </w:r>
          </w:p>
          <w:p w:rsidR="00DA50DA" w:rsidRDefault="00DA50DA" w:rsidP="00DA50DA">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Les rituels constituent des repères sûrs et évolutifs. Ils régulent les comportements, scandent les temps, différencient les espaces, régulent les rapports, favorisent la structuration de la mémoire, créent un climat de sécurité psychologique. On pourra s’appuyer sur les rituels pour introduire des énoncés nouveaux. Souvent lié à l’accomplissement d’une tâche simple, le rituel évolue et se complexifie au fil de l’année. </w:t>
            </w:r>
          </w:p>
          <w:p w:rsidR="00DA50DA" w:rsidRDefault="00DA50DA" w:rsidP="00DA50DA">
            <w:pPr>
              <w:rPr>
                <w:rFonts w:ascii="Arial" w:eastAsia="Times New Roman" w:hAnsi="Arial" w:cs="Arial"/>
                <w:color w:val="000000"/>
                <w:sz w:val="21"/>
                <w:szCs w:val="21"/>
                <w:shd w:val="clear" w:color="auto" w:fill="FFFFFF"/>
              </w:rPr>
            </w:pPr>
            <w:r w:rsidRPr="00B109A8">
              <w:rPr>
                <w:rFonts w:ascii="Arial" w:eastAsia="Times New Roman" w:hAnsi="Arial" w:cs="Arial"/>
                <w:b/>
                <w:color w:val="000000"/>
                <w:sz w:val="21"/>
                <w:szCs w:val="21"/>
                <w:shd w:val="clear" w:color="auto" w:fill="FFFFFF"/>
              </w:rPr>
              <w:t>Les rituels peuvent être en lien avec les apprentissages sociaux</w:t>
            </w:r>
            <w:r>
              <w:rPr>
                <w:rFonts w:ascii="Arial" w:eastAsia="Times New Roman" w:hAnsi="Arial" w:cs="Arial"/>
                <w:color w:val="000000"/>
                <w:sz w:val="21"/>
                <w:szCs w:val="21"/>
                <w:shd w:val="clear" w:color="auto" w:fill="FFFFFF"/>
              </w:rPr>
              <w:t xml:space="preserve"> (se saluer, attendre son tour, se mouvoir, solliciter de l’aide) ou</w:t>
            </w:r>
            <w:r w:rsidRPr="00B109A8">
              <w:rPr>
                <w:rFonts w:ascii="Arial" w:eastAsia="Times New Roman" w:hAnsi="Arial" w:cs="Arial"/>
                <w:b/>
                <w:color w:val="000000"/>
                <w:sz w:val="21"/>
                <w:szCs w:val="21"/>
                <w:shd w:val="clear" w:color="auto" w:fill="FFFFFF"/>
              </w:rPr>
              <w:t xml:space="preserve"> en lien avec les apprentissages cognitifs ou langagiers (</w:t>
            </w:r>
            <w:r>
              <w:rPr>
                <w:rFonts w:ascii="Arial" w:eastAsia="Times New Roman" w:hAnsi="Arial" w:cs="Arial"/>
                <w:color w:val="000000"/>
                <w:sz w:val="21"/>
                <w:szCs w:val="21"/>
                <w:shd w:val="clear" w:color="auto" w:fill="FFFFFF"/>
              </w:rPr>
              <w:t xml:space="preserve">activités de classe ou gestes mentaux). </w:t>
            </w:r>
          </w:p>
          <w:p w:rsidR="00DA50DA" w:rsidRDefault="00DA50DA" w:rsidP="00DA50DA">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En lien avec les apprentissages sociaux, on pourra utiliser des accessoires, la musique, la distribution de responsabilités, des objets symboliques (bâton de parole, balle de mousse…). </w:t>
            </w:r>
          </w:p>
          <w:p w:rsidR="00DA50DA" w:rsidRDefault="00DA50DA" w:rsidP="00DA50DA">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Pour les rituels en lien direct avec les apprentissages, on utilisera le calendrier (avec complexification), des supports de dénombrement, des jeux d’épellation, des réactivations de comptines…</w:t>
            </w:r>
          </w:p>
          <w:p w:rsidR="00DA50DA" w:rsidRPr="00B45072" w:rsidRDefault="00DA50DA" w:rsidP="00DA50DA">
            <w:pPr>
              <w:pStyle w:val="Sansinterligne"/>
              <w:rPr>
                <w:sz w:val="16"/>
                <w:szCs w:val="16"/>
                <w:shd w:val="clear" w:color="auto" w:fill="FFFFFF"/>
              </w:rPr>
            </w:pPr>
          </w:p>
          <w:p w:rsidR="00DA50DA" w:rsidRDefault="00DA50DA" w:rsidP="00DA50DA">
            <w:pPr>
              <w:rPr>
                <w:rFonts w:ascii="Arial" w:eastAsia="Times New Roman" w:hAnsi="Arial" w:cs="Arial"/>
                <w:color w:val="000000"/>
                <w:sz w:val="21"/>
                <w:szCs w:val="21"/>
                <w:shd w:val="clear" w:color="auto" w:fill="FFFFFF"/>
              </w:rPr>
            </w:pPr>
            <w:r w:rsidRPr="00B109A8">
              <w:rPr>
                <w:rFonts w:ascii="Arial" w:eastAsia="Times New Roman" w:hAnsi="Arial" w:cs="Arial"/>
                <w:b/>
                <w:color w:val="000000"/>
                <w:sz w:val="21"/>
                <w:szCs w:val="21"/>
                <w:shd w:val="clear" w:color="auto" w:fill="FFFFFF"/>
              </w:rPr>
              <w:t>Au cycle 3, la conservation de rituels</w:t>
            </w:r>
            <w:r>
              <w:rPr>
                <w:rFonts w:ascii="Arial" w:eastAsia="Times New Roman" w:hAnsi="Arial" w:cs="Arial"/>
                <w:color w:val="000000"/>
                <w:sz w:val="21"/>
                <w:szCs w:val="21"/>
                <w:shd w:val="clear" w:color="auto" w:fill="FFFFFF"/>
              </w:rPr>
              <w:t xml:space="preserve"> favorisera la transition, de même que des configurations de classe variées, une gestuelle élémentaire stable du professeur servant de repères. D’autres rituels marqueront au contraire le passage vers le cycle 3, notamment le renforcement des codes en lien avec le dépassement du A1 vers le A2 (gestuelle pour signifier de proposer un énoncé plus complet, l’utilisation de symboles phonémiques, des jeux d’allonge phrases à l’écrit.</w:t>
            </w:r>
          </w:p>
          <w:p w:rsidR="00DA50DA" w:rsidRPr="00B109A8" w:rsidRDefault="00DA50DA" w:rsidP="00DA50DA">
            <w:pPr>
              <w:rPr>
                <w:rFonts w:ascii="Arial" w:eastAsia="Times New Roman" w:hAnsi="Arial" w:cs="Arial"/>
                <w:b/>
                <w:color w:val="000000"/>
                <w:sz w:val="21"/>
                <w:szCs w:val="21"/>
                <w:shd w:val="clear" w:color="auto" w:fill="FFFFFF"/>
              </w:rPr>
            </w:pPr>
            <w:r w:rsidRPr="00B109A8">
              <w:rPr>
                <w:rFonts w:ascii="Arial" w:eastAsia="Times New Roman" w:hAnsi="Arial" w:cs="Arial"/>
                <w:b/>
                <w:color w:val="000000"/>
                <w:sz w:val="21"/>
                <w:szCs w:val="21"/>
                <w:shd w:val="clear" w:color="auto" w:fill="FFFFFF"/>
              </w:rPr>
              <w:t xml:space="preserve">La causerie, le « quoi de neuf » peuvent trouver leur place dans les rituels sociaux. </w:t>
            </w:r>
          </w:p>
          <w:p w:rsidR="00DA50DA" w:rsidRDefault="00DA50DA" w:rsidP="00DA50DA">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On pourra dépasser la réactivation d’acquis pour poser des questions ouvertes reposant sur des énoncés nouveaux (</w:t>
            </w:r>
            <w:r w:rsidRPr="007C0E62">
              <w:rPr>
                <w:rFonts w:ascii="Arial" w:eastAsia="Times New Roman" w:hAnsi="Arial" w:cs="Arial"/>
                <w:i/>
                <w:color w:val="000000"/>
                <w:sz w:val="21"/>
                <w:szCs w:val="21"/>
                <w:shd w:val="clear" w:color="auto" w:fill="FFFFFF"/>
              </w:rPr>
              <w:t xml:space="preserve">Did you </w:t>
            </w:r>
            <w:proofErr w:type="spellStart"/>
            <w:r w:rsidRPr="007C0E62">
              <w:rPr>
                <w:rFonts w:ascii="Arial" w:eastAsia="Times New Roman" w:hAnsi="Arial" w:cs="Arial"/>
                <w:i/>
                <w:color w:val="000000"/>
                <w:sz w:val="21"/>
                <w:szCs w:val="21"/>
                <w:shd w:val="clear" w:color="auto" w:fill="FFFFFF"/>
              </w:rPr>
              <w:t>watch</w:t>
            </w:r>
            <w:proofErr w:type="spellEnd"/>
            <w:r w:rsidRPr="007C0E62">
              <w:rPr>
                <w:rFonts w:ascii="Arial" w:eastAsia="Times New Roman" w:hAnsi="Arial" w:cs="Arial"/>
                <w:i/>
                <w:color w:val="000000"/>
                <w:sz w:val="21"/>
                <w:szCs w:val="21"/>
                <w:shd w:val="clear" w:color="auto" w:fill="FFFFFF"/>
              </w:rPr>
              <w:t xml:space="preserve"> the r</w:t>
            </w:r>
            <w:r>
              <w:rPr>
                <w:rFonts w:ascii="Arial" w:eastAsia="Times New Roman" w:hAnsi="Arial" w:cs="Arial"/>
                <w:i/>
                <w:color w:val="000000"/>
                <w:sz w:val="21"/>
                <w:szCs w:val="21"/>
                <w:shd w:val="clear" w:color="auto" w:fill="FFFFFF"/>
              </w:rPr>
              <w:t>ugby match on TV last Saturday</w:t>
            </w:r>
            <w:r w:rsidRPr="007C0E62">
              <w:rPr>
                <w:rFonts w:ascii="Arial" w:eastAsia="Times New Roman" w:hAnsi="Arial" w:cs="Arial"/>
                <w:i/>
                <w:color w:val="000000"/>
                <w:sz w:val="21"/>
                <w:szCs w:val="21"/>
                <w:shd w:val="clear" w:color="auto" w:fill="FFFFFF"/>
              </w:rPr>
              <w:t>?</w:t>
            </w:r>
            <w:r>
              <w:rPr>
                <w:rFonts w:ascii="Arial" w:eastAsia="Times New Roman" w:hAnsi="Arial" w:cs="Arial"/>
                <w:color w:val="000000"/>
                <w:sz w:val="21"/>
                <w:szCs w:val="21"/>
                <w:shd w:val="clear" w:color="auto" w:fill="FFFFFF"/>
              </w:rPr>
              <w:t>).</w:t>
            </w:r>
          </w:p>
          <w:p w:rsidR="00DA50DA" w:rsidRDefault="00DA50DA" w:rsidP="00DA50DA">
            <w:pPr>
              <w:rPr>
                <w:rFonts w:ascii="Arial" w:eastAsia="Times New Roman" w:hAnsi="Arial" w:cs="Arial"/>
                <w:color w:val="000000"/>
                <w:sz w:val="21"/>
                <w:szCs w:val="21"/>
                <w:shd w:val="clear" w:color="auto" w:fill="FFFFFF"/>
              </w:rPr>
            </w:pPr>
          </w:p>
          <w:p w:rsidR="00DA50DA" w:rsidRDefault="00DA50DA" w:rsidP="00022531">
            <w:pPr>
              <w:rPr>
                <w:rFonts w:ascii="Arial" w:eastAsia="Times New Roman" w:hAnsi="Arial" w:cs="Arial"/>
                <w:color w:val="000000"/>
                <w:sz w:val="22"/>
                <w:szCs w:val="22"/>
                <w:shd w:val="clear" w:color="auto" w:fill="FFFFFF"/>
              </w:rPr>
            </w:pPr>
          </w:p>
        </w:tc>
      </w:tr>
    </w:tbl>
    <w:p w:rsidR="00022531" w:rsidRPr="00DA50DA" w:rsidRDefault="00022531" w:rsidP="00022531">
      <w:pPr>
        <w:rPr>
          <w:rFonts w:ascii="Arial" w:eastAsia="Times New Roman" w:hAnsi="Arial" w:cs="Arial"/>
          <w:color w:val="000000"/>
          <w:sz w:val="22"/>
          <w:szCs w:val="22"/>
          <w:shd w:val="clear" w:color="auto" w:fill="FFFFFF"/>
        </w:rPr>
      </w:pPr>
    </w:p>
    <w:p w:rsidR="008609EB" w:rsidRDefault="008609EB"/>
    <w:sectPr w:rsidR="008609EB" w:rsidSect="008609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56" w:rsidRDefault="00C90756" w:rsidP="00022531">
      <w:r>
        <w:separator/>
      </w:r>
    </w:p>
  </w:endnote>
  <w:endnote w:type="continuationSeparator" w:id="0">
    <w:p w:rsidR="00C90756" w:rsidRDefault="00C90756" w:rsidP="000225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31" w:rsidRDefault="0002253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31" w:rsidRDefault="0002253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31" w:rsidRDefault="000225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56" w:rsidRDefault="00C90756" w:rsidP="00022531">
      <w:r>
        <w:separator/>
      </w:r>
    </w:p>
  </w:footnote>
  <w:footnote w:type="continuationSeparator" w:id="0">
    <w:p w:rsidR="00C90756" w:rsidRDefault="00C90756" w:rsidP="000225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31" w:rsidRDefault="0002253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31" w:rsidRPr="000139E5" w:rsidRDefault="00022531" w:rsidP="00022531">
    <w:pPr>
      <w:pStyle w:val="En-tte"/>
      <w:jc w:val="right"/>
      <w:rPr>
        <w:rFonts w:ascii="Arial" w:hAnsi="Arial" w:cs="Arial"/>
        <w:sz w:val="22"/>
        <w:szCs w:val="22"/>
      </w:rPr>
    </w:pPr>
    <w:r>
      <w:rPr>
        <w:rFonts w:ascii="Arial" w:hAnsi="Arial" w:cs="Arial"/>
        <w:sz w:val="22"/>
        <w:szCs w:val="22"/>
      </w:rPr>
      <w:t xml:space="preserve">Extrait </w:t>
    </w:r>
    <w:r w:rsidRPr="000139E5">
      <w:rPr>
        <w:rFonts w:ascii="Arial" w:hAnsi="Arial" w:cs="Arial"/>
        <w:sz w:val="22"/>
        <w:szCs w:val="22"/>
      </w:rPr>
      <w:t>du guide « </w:t>
    </w:r>
    <w:r w:rsidRPr="000139E5">
      <w:rPr>
        <w:rFonts w:ascii="Arial" w:hAnsi="Arial" w:cs="Arial"/>
        <w:i/>
        <w:sz w:val="22"/>
        <w:szCs w:val="22"/>
      </w:rPr>
      <w:t>Oser les LVE à l’école</w:t>
    </w:r>
    <w:r w:rsidRPr="000139E5">
      <w:rPr>
        <w:rFonts w:ascii="Arial" w:hAnsi="Arial" w:cs="Arial"/>
        <w:sz w:val="22"/>
        <w:szCs w:val="22"/>
      </w:rPr>
      <w:t> »</w:t>
    </w:r>
  </w:p>
  <w:p w:rsidR="00022531" w:rsidRDefault="0002253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31" w:rsidRDefault="0002253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22531"/>
    <w:rsid w:val="00022531"/>
    <w:rsid w:val="000869C1"/>
    <w:rsid w:val="00750960"/>
    <w:rsid w:val="008609EB"/>
    <w:rsid w:val="00C90756"/>
    <w:rsid w:val="00DA50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31"/>
    <w:pPr>
      <w:spacing w:after="0" w:line="240" w:lineRule="auto"/>
    </w:pPr>
    <w:rPr>
      <w:rFonts w:ascii="Times New Roman" w:eastAsiaTheme="minorEastAsia"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22531"/>
    <w:pPr>
      <w:spacing w:after="0" w:line="240" w:lineRule="auto"/>
    </w:pPr>
    <w:rPr>
      <w:rFonts w:ascii="Times New Roman" w:eastAsiaTheme="minorEastAsia" w:hAnsi="Times New Roman"/>
      <w:sz w:val="24"/>
      <w:szCs w:val="24"/>
      <w:lang w:eastAsia="fr-FR"/>
    </w:rPr>
  </w:style>
  <w:style w:type="table" w:styleId="Grilledutableau">
    <w:name w:val="Table Grid"/>
    <w:basedOn w:val="TableauNormal"/>
    <w:uiPriority w:val="59"/>
    <w:rsid w:val="00022531"/>
    <w:pPr>
      <w:spacing w:after="0" w:line="240" w:lineRule="auto"/>
    </w:pPr>
    <w:rPr>
      <w:rFonts w:ascii="Times New Roman" w:eastAsiaTheme="minorEastAsia" w:hAnsi="Times New Roman"/>
      <w:sz w:val="24"/>
      <w:szCs w:val="24"/>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022531"/>
    <w:pPr>
      <w:tabs>
        <w:tab w:val="center" w:pos="4536"/>
        <w:tab w:val="right" w:pos="9072"/>
      </w:tabs>
    </w:pPr>
  </w:style>
  <w:style w:type="character" w:customStyle="1" w:styleId="En-tteCar">
    <w:name w:val="En-tête Car"/>
    <w:basedOn w:val="Policepardfaut"/>
    <w:link w:val="En-tte"/>
    <w:uiPriority w:val="99"/>
    <w:rsid w:val="00022531"/>
    <w:rPr>
      <w:rFonts w:ascii="Times New Roman" w:eastAsiaTheme="minorEastAsia" w:hAnsi="Times New Roman"/>
      <w:sz w:val="24"/>
      <w:szCs w:val="24"/>
      <w:lang w:eastAsia="fr-FR"/>
    </w:rPr>
  </w:style>
  <w:style w:type="paragraph" w:styleId="Pieddepage">
    <w:name w:val="footer"/>
    <w:basedOn w:val="Normal"/>
    <w:link w:val="PieddepageCar"/>
    <w:uiPriority w:val="99"/>
    <w:semiHidden/>
    <w:unhideWhenUsed/>
    <w:rsid w:val="00022531"/>
    <w:pPr>
      <w:tabs>
        <w:tab w:val="center" w:pos="4536"/>
        <w:tab w:val="right" w:pos="9072"/>
      </w:tabs>
    </w:pPr>
  </w:style>
  <w:style w:type="character" w:customStyle="1" w:styleId="PieddepageCar">
    <w:name w:val="Pied de page Car"/>
    <w:basedOn w:val="Policepardfaut"/>
    <w:link w:val="Pieddepage"/>
    <w:uiPriority w:val="99"/>
    <w:semiHidden/>
    <w:rsid w:val="00022531"/>
    <w:rPr>
      <w:rFonts w:ascii="Times New Roman" w:eastAsiaTheme="minorEastAsia"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1557</Characters>
  <Application>Microsoft Office Word</Application>
  <DocSecurity>0</DocSecurity>
  <Lines>12</Lines>
  <Paragraphs>3</Paragraphs>
  <ScaleCrop>false</ScaleCrop>
  <Company>PHOTON</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dcterms:created xsi:type="dcterms:W3CDTF">2019-09-25T07:08:00Z</dcterms:created>
  <dcterms:modified xsi:type="dcterms:W3CDTF">2019-09-25T07:18:00Z</dcterms:modified>
</cp:coreProperties>
</file>