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943C" w14:textId="77777777" w:rsidR="009F7497" w:rsidRPr="009F7497" w:rsidRDefault="009F7497" w:rsidP="009F7497">
      <w:pPr>
        <w:adjustRightInd w:val="0"/>
        <w:spacing w:line="227" w:lineRule="auto"/>
        <w:jc w:val="both"/>
        <w:rPr>
          <w:b/>
          <w:sz w:val="20"/>
          <w:szCs w:val="20"/>
          <w:lang w:val="fr-FR"/>
        </w:rPr>
      </w:pPr>
      <w:r w:rsidRPr="009F7497">
        <w:rPr>
          <w:b/>
          <w:sz w:val="20"/>
          <w:szCs w:val="20"/>
          <w:lang w:val="fr-FR"/>
        </w:rPr>
        <w:t xml:space="preserve">Annexe 2 : évolution des enseignements de spécialité éducation physique, pratiques et culture sportives </w:t>
      </w:r>
      <w:r w:rsidRPr="009F7497">
        <w:rPr>
          <w:rFonts w:eastAsia="Times New Roman"/>
          <w:b/>
          <w:color w:val="000000"/>
          <w:sz w:val="20"/>
          <w:szCs w:val="20"/>
          <w:lang w:val="fr-FR" w:eastAsia="fr-FR"/>
        </w:rPr>
        <w:t>(EPPCS) à la rentrée scolaire 2023</w:t>
      </w:r>
    </w:p>
    <w:p w14:paraId="6460BB54" w14:textId="77777777" w:rsidR="009F7497" w:rsidRPr="009F7497" w:rsidRDefault="009F7497" w:rsidP="009F7497">
      <w:pPr>
        <w:rPr>
          <w:rFonts w:eastAsia="Times New Roman"/>
          <w:color w:val="000000"/>
          <w:sz w:val="20"/>
          <w:szCs w:val="20"/>
          <w:lang w:val="fr-FR" w:eastAsia="fr-FR"/>
        </w:rPr>
      </w:pPr>
    </w:p>
    <w:p w14:paraId="6DFF7754" w14:textId="77777777" w:rsidR="009F7497" w:rsidRPr="009F7497" w:rsidRDefault="009F7497" w:rsidP="009F7497">
      <w:pPr>
        <w:jc w:val="both"/>
        <w:rPr>
          <w:rFonts w:eastAsia="Times New Roman"/>
          <w:color w:val="000000"/>
          <w:sz w:val="20"/>
          <w:szCs w:val="20"/>
          <w:lang w:val="fr-FR" w:eastAsia="fr-FR"/>
        </w:rPr>
      </w:pPr>
      <w:r w:rsidRPr="009F7497">
        <w:rPr>
          <w:rFonts w:eastAsia="Times New Roman"/>
          <w:color w:val="000000"/>
          <w:sz w:val="20"/>
          <w:szCs w:val="20"/>
          <w:lang w:val="fr-FR" w:eastAsia="fr-FR"/>
        </w:rPr>
        <w:t>Au sein de la voie générale, l'enseignement de spécialité et l'épreuve terminale de spécialité éducation physique, pratiques et culture sportives ont été créés par arrêté le 17 février 2021.</w:t>
      </w:r>
    </w:p>
    <w:p w14:paraId="7C91CE58" w14:textId="77777777" w:rsidR="009F7497" w:rsidRPr="009F7497" w:rsidRDefault="009F7497" w:rsidP="009F7497">
      <w:pPr>
        <w:jc w:val="both"/>
        <w:rPr>
          <w:rFonts w:eastAsia="Times New Roman"/>
          <w:color w:val="000000"/>
          <w:sz w:val="20"/>
          <w:szCs w:val="20"/>
          <w:lang w:val="fr-FR" w:eastAsia="fr-FR"/>
        </w:rPr>
      </w:pPr>
    </w:p>
    <w:p w14:paraId="00A5F77D" w14:textId="77777777" w:rsidR="009F7497" w:rsidRPr="009F7497" w:rsidRDefault="009F7497" w:rsidP="009F7497">
      <w:pPr>
        <w:jc w:val="both"/>
        <w:rPr>
          <w:rFonts w:eastAsia="Times New Roman"/>
          <w:color w:val="000000"/>
          <w:sz w:val="20"/>
          <w:szCs w:val="20"/>
          <w:lang w:val="fr-FR" w:eastAsia="fr-FR"/>
        </w:rPr>
      </w:pPr>
      <w:r w:rsidRPr="009F7497">
        <w:rPr>
          <w:rFonts w:eastAsia="Times New Roman"/>
          <w:color w:val="000000"/>
          <w:sz w:val="20"/>
          <w:szCs w:val="20"/>
          <w:lang w:val="fr-FR" w:eastAsia="fr-FR"/>
        </w:rPr>
        <w:t xml:space="preserve">Ouvert aux lycéens dès la classe de première à la rentrée 2021, puis en classe de terminale à la rentrée 2022, ce nouvel enseignement de spécialité offre des perspectives de parcours d'études dans l'enseignement supérieur et d'insertion professionnelle dans de nombreux secteurs tels que les métiers de la santé et du bien-être, l'enseignement, l'entraînement, la gestion, la communication, le secteur événementiel, la recherche et la sécurité. </w:t>
      </w:r>
    </w:p>
    <w:p w14:paraId="7A143113" w14:textId="77777777" w:rsidR="009F7497" w:rsidRPr="009F7497" w:rsidRDefault="009F7497" w:rsidP="009F7497">
      <w:pPr>
        <w:jc w:val="both"/>
        <w:rPr>
          <w:rFonts w:eastAsia="Times New Roman"/>
          <w:color w:val="000000"/>
          <w:sz w:val="20"/>
          <w:szCs w:val="20"/>
          <w:lang w:val="fr-FR" w:eastAsia="fr-FR"/>
        </w:rPr>
      </w:pPr>
    </w:p>
    <w:p w14:paraId="73ABAEB8" w14:textId="77777777" w:rsidR="009F7497" w:rsidRPr="009F7497" w:rsidRDefault="009F7497" w:rsidP="009F7497">
      <w:pPr>
        <w:jc w:val="both"/>
        <w:rPr>
          <w:rFonts w:eastAsia="Times New Roman"/>
          <w:color w:val="000000"/>
          <w:sz w:val="20"/>
          <w:szCs w:val="20"/>
          <w:lang w:val="fr-FR" w:eastAsia="fr-FR"/>
        </w:rPr>
      </w:pPr>
      <w:r w:rsidRPr="009F7497">
        <w:rPr>
          <w:rFonts w:eastAsia="Times New Roman"/>
          <w:color w:val="000000"/>
          <w:sz w:val="20"/>
          <w:szCs w:val="20"/>
          <w:lang w:val="fr-FR" w:eastAsia="fr-FR"/>
        </w:rPr>
        <w:t>À l'approche des Jeux olympiques et paralympiques de 2024, la création de cet enseignement de spécialité s'inscrit dans la réflexion engagée pour répondre aux enjeux d'employabilité et de diversification des métiers dans un secteur en pleine évolution.</w:t>
      </w:r>
    </w:p>
    <w:p w14:paraId="1C5AC826" w14:textId="77777777" w:rsidR="009F7497" w:rsidRPr="009F7497" w:rsidRDefault="009F7497" w:rsidP="009F7497">
      <w:pPr>
        <w:jc w:val="both"/>
        <w:rPr>
          <w:rFonts w:eastAsia="Times New Roman"/>
          <w:color w:val="000000"/>
          <w:sz w:val="20"/>
          <w:szCs w:val="20"/>
          <w:lang w:val="fr-FR" w:eastAsia="fr-FR"/>
        </w:rPr>
      </w:pPr>
    </w:p>
    <w:p w14:paraId="61BD24A8" w14:textId="77777777" w:rsidR="009F7497" w:rsidRPr="009F7497" w:rsidRDefault="009F7497" w:rsidP="009F7497">
      <w:pPr>
        <w:jc w:val="both"/>
        <w:rPr>
          <w:rFonts w:eastAsia="Times New Roman"/>
          <w:color w:val="000000"/>
          <w:sz w:val="20"/>
          <w:szCs w:val="20"/>
          <w:lang w:val="fr-FR" w:eastAsia="fr-FR"/>
        </w:rPr>
      </w:pPr>
      <w:r w:rsidRPr="009F7497">
        <w:rPr>
          <w:rFonts w:eastAsia="Times New Roman"/>
          <w:color w:val="000000"/>
          <w:sz w:val="20"/>
          <w:szCs w:val="20"/>
          <w:lang w:val="fr-FR" w:eastAsia="fr-FR"/>
        </w:rPr>
        <w:t xml:space="preserve">L’enseignement de spécialité EPPCS dépasse le champ strict de la pratique sportive et </w:t>
      </w:r>
      <w:proofErr w:type="spellStart"/>
      <w:r w:rsidRPr="009F7497">
        <w:rPr>
          <w:rFonts w:eastAsia="Times New Roman"/>
          <w:color w:val="000000"/>
          <w:sz w:val="20"/>
          <w:szCs w:val="20"/>
          <w:lang w:val="fr-FR" w:eastAsia="fr-FR"/>
        </w:rPr>
        <w:t>intégre</w:t>
      </w:r>
      <w:proofErr w:type="spellEnd"/>
      <w:r w:rsidRPr="009F7497">
        <w:rPr>
          <w:rFonts w:eastAsia="Times New Roman"/>
          <w:color w:val="000000"/>
          <w:sz w:val="20"/>
          <w:szCs w:val="20"/>
          <w:lang w:val="fr-FR" w:eastAsia="fr-FR"/>
        </w:rPr>
        <w:t xml:space="preserve">, en plus des enseignements en éducation physique et sportive, d'autres champs disciplinaires (sciences, humanités, …) en associant des apports pratiques et des contenus théoriques. </w:t>
      </w:r>
    </w:p>
    <w:p w14:paraId="30342C7B" w14:textId="77777777" w:rsidR="009F7497" w:rsidRPr="009F7497" w:rsidRDefault="009F7497" w:rsidP="009F7497">
      <w:pPr>
        <w:jc w:val="both"/>
        <w:rPr>
          <w:rFonts w:eastAsia="Times New Roman"/>
          <w:color w:val="000000"/>
          <w:sz w:val="20"/>
          <w:szCs w:val="20"/>
          <w:lang w:val="fr-FR" w:eastAsia="fr-FR"/>
        </w:rPr>
      </w:pPr>
    </w:p>
    <w:p w14:paraId="5C9B304A" w14:textId="77777777" w:rsidR="009F7497" w:rsidRPr="009F7497" w:rsidRDefault="009F7497" w:rsidP="009F7497">
      <w:pPr>
        <w:jc w:val="both"/>
        <w:rPr>
          <w:rFonts w:eastAsia="Times New Roman"/>
          <w:sz w:val="20"/>
          <w:szCs w:val="20"/>
          <w:lang w:val="fr-FR" w:eastAsia="fr-FR"/>
        </w:rPr>
      </w:pPr>
      <w:r w:rsidRPr="009F7497">
        <w:rPr>
          <w:rFonts w:eastAsia="Times New Roman"/>
          <w:color w:val="000000"/>
          <w:sz w:val="20"/>
          <w:szCs w:val="20"/>
          <w:lang w:val="fr-FR" w:eastAsia="fr-FR"/>
        </w:rPr>
        <w:t xml:space="preserve">Cet enseignement de spécialité </w:t>
      </w:r>
      <w:r w:rsidRPr="009F7497">
        <w:rPr>
          <w:rFonts w:eastAsia="Times New Roman"/>
          <w:sz w:val="20"/>
          <w:szCs w:val="20"/>
          <w:lang w:val="fr-FR" w:eastAsia="fr-FR"/>
        </w:rPr>
        <w:t xml:space="preserve">a été mis en place en septembre 2021 dans six établissements de la région académique Provence-Alpes-Côte d’Azur. </w:t>
      </w:r>
    </w:p>
    <w:p w14:paraId="48987D45" w14:textId="77777777" w:rsidR="009F7497" w:rsidRPr="009F7497" w:rsidRDefault="009F7497" w:rsidP="009F7497">
      <w:pPr>
        <w:jc w:val="both"/>
        <w:rPr>
          <w:rFonts w:eastAsia="Times New Roman"/>
          <w:color w:val="000000"/>
          <w:sz w:val="20"/>
          <w:szCs w:val="20"/>
          <w:lang w:val="fr-FR" w:eastAsia="fr-FR"/>
        </w:rPr>
      </w:pPr>
      <w:r w:rsidRPr="009F7497">
        <w:rPr>
          <w:rFonts w:eastAsia="Times New Roman"/>
          <w:sz w:val="20"/>
          <w:szCs w:val="20"/>
          <w:lang w:val="fr-FR" w:eastAsia="fr-FR"/>
        </w:rPr>
        <w:t xml:space="preserve">A la rentrée scolaire 2022, dans le cadre de la campagne relative à l’évolution de la carte des </w:t>
      </w:r>
      <w:r w:rsidRPr="009F7497">
        <w:rPr>
          <w:rFonts w:eastAsia="Times New Roman"/>
          <w:color w:val="000000"/>
          <w:sz w:val="20"/>
          <w:szCs w:val="20"/>
          <w:lang w:val="fr-FR" w:eastAsia="fr-FR"/>
        </w:rPr>
        <w:t>enseignements de spécialité de l’enseignement général</w:t>
      </w:r>
      <w:r w:rsidRPr="009F7497">
        <w:rPr>
          <w:rFonts w:eastAsia="Times New Roman"/>
          <w:sz w:val="20"/>
          <w:szCs w:val="20"/>
          <w:lang w:val="fr-FR" w:eastAsia="fr-FR"/>
        </w:rPr>
        <w:t>, des ouvertures supplémentaires ont été validées dans cinq lycées</w:t>
      </w:r>
      <w:r w:rsidRPr="009F7497">
        <w:rPr>
          <w:rFonts w:eastAsia="Times New Roman"/>
          <w:color w:val="000000"/>
          <w:sz w:val="20"/>
          <w:szCs w:val="20"/>
          <w:lang w:val="fr-FR" w:eastAsia="fr-FR"/>
        </w:rPr>
        <w:t xml:space="preserve">. </w:t>
      </w:r>
    </w:p>
    <w:p w14:paraId="1D0A999C" w14:textId="77777777" w:rsidR="009F7497" w:rsidRPr="009F7497" w:rsidRDefault="009F7497" w:rsidP="009F7497">
      <w:pPr>
        <w:jc w:val="both"/>
        <w:rPr>
          <w:rFonts w:eastAsia="Times New Roman"/>
          <w:color w:val="000000"/>
          <w:sz w:val="20"/>
          <w:szCs w:val="20"/>
          <w:lang w:val="fr-FR" w:eastAsia="fr-FR"/>
        </w:rPr>
      </w:pPr>
    </w:p>
    <w:p w14:paraId="3AB3AB79" w14:textId="77777777" w:rsidR="009F7497" w:rsidRPr="009F7497" w:rsidRDefault="009F7497" w:rsidP="009F7497">
      <w:pPr>
        <w:jc w:val="both"/>
        <w:rPr>
          <w:sz w:val="20"/>
          <w:szCs w:val="20"/>
          <w:lang w:val="fr-FR"/>
        </w:rPr>
      </w:pPr>
      <w:r w:rsidRPr="009F7497">
        <w:rPr>
          <w:sz w:val="20"/>
          <w:szCs w:val="20"/>
          <w:lang w:val="fr-FR"/>
        </w:rPr>
        <w:t>Dans le cadre de nouvelles implantations de cet enseignement à la rentrée scolaire 2023, les critères d'appréciation suivants seront pris en compte :</w:t>
      </w:r>
    </w:p>
    <w:p w14:paraId="19C60478" w14:textId="77777777" w:rsidR="009F7497" w:rsidRPr="009F7497" w:rsidRDefault="009F7497" w:rsidP="009F7497">
      <w:pPr>
        <w:rPr>
          <w:sz w:val="20"/>
          <w:szCs w:val="20"/>
          <w:lang w:val="fr-FR"/>
        </w:rPr>
      </w:pPr>
    </w:p>
    <w:p w14:paraId="5CA63C52" w14:textId="77777777" w:rsidR="009F7497" w:rsidRPr="009F7497" w:rsidRDefault="009F7497" w:rsidP="009F7497">
      <w:pPr>
        <w:pStyle w:val="Paragraphedeliste"/>
        <w:numPr>
          <w:ilvl w:val="0"/>
          <w:numId w:val="3"/>
        </w:numPr>
        <w:ind w:left="426"/>
        <w:jc w:val="both"/>
        <w:rPr>
          <w:sz w:val="20"/>
          <w:szCs w:val="20"/>
          <w:lang w:val="fr-FR"/>
        </w:rPr>
      </w:pPr>
      <w:r w:rsidRPr="009F7497">
        <w:rPr>
          <w:sz w:val="20"/>
          <w:szCs w:val="20"/>
          <w:lang w:val="fr-FR"/>
        </w:rPr>
        <w:t xml:space="preserve">La répartition territoriale de cette formation dans la région académique </w:t>
      </w:r>
      <w:r w:rsidRPr="009F7497">
        <w:rPr>
          <w:rFonts w:eastAsia="Times New Roman"/>
          <w:sz w:val="20"/>
          <w:szCs w:val="20"/>
          <w:lang w:val="fr-FR" w:eastAsia="fr-FR"/>
        </w:rPr>
        <w:t xml:space="preserve">Provence-Alpes-Côte d’Azur </w:t>
      </w:r>
      <w:r w:rsidRPr="009F7497">
        <w:rPr>
          <w:sz w:val="20"/>
          <w:szCs w:val="20"/>
          <w:lang w:val="fr-FR"/>
        </w:rPr>
        <w:t>;</w:t>
      </w:r>
    </w:p>
    <w:p w14:paraId="7064EFA0" w14:textId="77777777" w:rsidR="009F7497" w:rsidRPr="009F7497" w:rsidRDefault="009F7497" w:rsidP="009F7497">
      <w:pPr>
        <w:pStyle w:val="Paragraphedeliste"/>
        <w:numPr>
          <w:ilvl w:val="0"/>
          <w:numId w:val="3"/>
        </w:numPr>
        <w:ind w:left="426"/>
        <w:jc w:val="both"/>
        <w:rPr>
          <w:sz w:val="20"/>
          <w:szCs w:val="20"/>
          <w:lang w:val="fr-FR"/>
        </w:rPr>
      </w:pPr>
      <w:r w:rsidRPr="009F7497">
        <w:rPr>
          <w:sz w:val="20"/>
          <w:szCs w:val="20"/>
          <w:lang w:val="fr-FR"/>
        </w:rPr>
        <w:t>Le vivier potentiel de recrutement des élèves du secteur à partir des dynamiques existantes ;</w:t>
      </w:r>
    </w:p>
    <w:p w14:paraId="6B49C528" w14:textId="77777777" w:rsidR="009F7497" w:rsidRPr="009F7497" w:rsidRDefault="009F7497" w:rsidP="009F7497">
      <w:pPr>
        <w:pStyle w:val="Paragraphedeliste"/>
        <w:numPr>
          <w:ilvl w:val="0"/>
          <w:numId w:val="3"/>
        </w:numPr>
        <w:ind w:left="426"/>
        <w:jc w:val="both"/>
        <w:rPr>
          <w:sz w:val="20"/>
          <w:szCs w:val="20"/>
          <w:lang w:val="fr-FR"/>
        </w:rPr>
      </w:pPr>
      <w:r w:rsidRPr="009F7497">
        <w:rPr>
          <w:sz w:val="20"/>
          <w:szCs w:val="20"/>
          <w:lang w:val="fr-FR"/>
        </w:rPr>
        <w:t>L’insertion de la demande dans le projet d’établissement, l’engagement de l’établissement et des équipes (avis de la direction, actualisation des projets pédagogiques, démarche concertée et collaborative de projet, implication des acteurs dans une démarche de développement professionnel, conception des référentiels d'examens de l'enseignement obligatoire, rayonnement de l'option EPS, dynamique de l'AS, …) ;</w:t>
      </w:r>
    </w:p>
    <w:p w14:paraId="081D8F70" w14:textId="77777777" w:rsidR="009F7497" w:rsidRPr="009F7497" w:rsidRDefault="009F7497" w:rsidP="009F7497">
      <w:pPr>
        <w:pStyle w:val="Paragraphedeliste"/>
        <w:numPr>
          <w:ilvl w:val="0"/>
          <w:numId w:val="3"/>
        </w:numPr>
        <w:ind w:left="426"/>
        <w:jc w:val="both"/>
        <w:rPr>
          <w:sz w:val="20"/>
          <w:szCs w:val="20"/>
          <w:lang w:val="fr-FR"/>
        </w:rPr>
      </w:pPr>
      <w:r w:rsidRPr="009F7497">
        <w:rPr>
          <w:sz w:val="20"/>
          <w:szCs w:val="20"/>
          <w:lang w:val="fr-FR"/>
        </w:rPr>
        <w:t>Les aspects logistiques tels que la disponibilité d’installations sportives au-delà des dispositifs en place (enseignement obligatoire, option EPS, AS, etc…), les partenariats avec le monde des activités physiques, sportives et artistiques, l’internat ;</w:t>
      </w:r>
    </w:p>
    <w:p w14:paraId="7114718F" w14:textId="77777777" w:rsidR="009F7497" w:rsidRPr="009F7497" w:rsidRDefault="009F7497" w:rsidP="009F7497">
      <w:pPr>
        <w:pStyle w:val="Paragraphedeliste"/>
        <w:numPr>
          <w:ilvl w:val="0"/>
          <w:numId w:val="3"/>
        </w:numPr>
        <w:ind w:left="426"/>
        <w:jc w:val="both"/>
        <w:rPr>
          <w:sz w:val="20"/>
          <w:szCs w:val="20"/>
          <w:lang w:val="fr-FR"/>
        </w:rPr>
      </w:pPr>
      <w:r w:rsidRPr="009F7497">
        <w:rPr>
          <w:sz w:val="20"/>
          <w:szCs w:val="20"/>
          <w:lang w:val="fr-FR"/>
        </w:rPr>
        <w:t>Les dynamiques de travail, la curiosité pour les ressources théoriques et les ressources transdisciplinaires.</w:t>
      </w:r>
    </w:p>
    <w:p w14:paraId="38556BCB" w14:textId="77777777" w:rsidR="009F7497" w:rsidRPr="009F7497" w:rsidRDefault="009F7497" w:rsidP="009F7497">
      <w:pPr>
        <w:jc w:val="both"/>
        <w:rPr>
          <w:b/>
          <w:bCs/>
          <w:i/>
          <w:iCs/>
          <w:color w:val="4472C4" w:themeColor="accent1"/>
          <w:sz w:val="20"/>
          <w:szCs w:val="20"/>
          <w:lang w:val="fr-FR"/>
        </w:rPr>
      </w:pPr>
    </w:p>
    <w:p w14:paraId="40151380" w14:textId="77777777" w:rsidR="009F7497" w:rsidRPr="009F7497" w:rsidRDefault="009F7497" w:rsidP="009F7497">
      <w:pPr>
        <w:jc w:val="both"/>
        <w:rPr>
          <w:sz w:val="20"/>
          <w:szCs w:val="20"/>
          <w:lang w:val="fr-FR"/>
        </w:rPr>
      </w:pPr>
      <w:r w:rsidRPr="009F7497">
        <w:rPr>
          <w:sz w:val="20"/>
          <w:szCs w:val="20"/>
          <w:lang w:val="fr-FR"/>
        </w:rPr>
        <w:t>Pour les établissements volontaires, les demandes d’ouverture de cet enseignement de spécialité à la rentrée 2023 seront effectuées par retour de la fiche de candidature fournie ci-après.</w:t>
      </w:r>
    </w:p>
    <w:p w14:paraId="0399FDA8" w14:textId="77777777" w:rsidR="009F7497" w:rsidRPr="009F7497" w:rsidRDefault="009F7497" w:rsidP="009F7497">
      <w:pPr>
        <w:jc w:val="both"/>
        <w:rPr>
          <w:sz w:val="20"/>
          <w:szCs w:val="20"/>
          <w:lang w:val="fr-FR"/>
        </w:rPr>
      </w:pPr>
    </w:p>
    <w:p w14:paraId="45A4B593" w14:textId="77777777" w:rsidR="009F7497" w:rsidRPr="009F7497" w:rsidRDefault="009F7497" w:rsidP="009F7497">
      <w:pPr>
        <w:jc w:val="right"/>
        <w:rPr>
          <w:sz w:val="20"/>
          <w:szCs w:val="20"/>
          <w:lang w:val="fr-FR"/>
        </w:rPr>
      </w:pPr>
    </w:p>
    <w:p w14:paraId="5AD6B44C" w14:textId="77777777" w:rsidR="009F7497" w:rsidRPr="009F7497" w:rsidRDefault="009F7497" w:rsidP="009F7497">
      <w:pPr>
        <w:jc w:val="right"/>
        <w:rPr>
          <w:sz w:val="20"/>
          <w:szCs w:val="20"/>
          <w:lang w:val="fr-FR"/>
        </w:rPr>
      </w:pPr>
    </w:p>
    <w:p w14:paraId="79CFB706" w14:textId="77777777" w:rsidR="009F7497" w:rsidRPr="009F7497" w:rsidRDefault="009F7497" w:rsidP="009F7497">
      <w:pPr>
        <w:jc w:val="right"/>
        <w:rPr>
          <w:sz w:val="20"/>
          <w:szCs w:val="20"/>
          <w:lang w:val="fr-FR"/>
        </w:rPr>
      </w:pPr>
    </w:p>
    <w:p w14:paraId="30AD6534" w14:textId="77777777" w:rsidR="009F7497" w:rsidRPr="009F7497" w:rsidRDefault="009F7497" w:rsidP="009F7497">
      <w:pPr>
        <w:jc w:val="right"/>
        <w:rPr>
          <w:sz w:val="20"/>
          <w:szCs w:val="20"/>
          <w:lang w:val="fr-FR"/>
        </w:rPr>
      </w:pPr>
    </w:p>
    <w:p w14:paraId="071057D5" w14:textId="77777777" w:rsidR="009F7497" w:rsidRPr="009F7497" w:rsidRDefault="009F7497" w:rsidP="009F7497">
      <w:pPr>
        <w:jc w:val="right"/>
        <w:rPr>
          <w:sz w:val="20"/>
          <w:szCs w:val="20"/>
          <w:lang w:val="fr-FR"/>
        </w:rPr>
      </w:pPr>
    </w:p>
    <w:p w14:paraId="190634FD" w14:textId="77777777" w:rsidR="009F7497" w:rsidRPr="009F7497" w:rsidRDefault="009F7497" w:rsidP="009F7497">
      <w:pPr>
        <w:jc w:val="right"/>
        <w:rPr>
          <w:sz w:val="20"/>
          <w:szCs w:val="20"/>
          <w:lang w:val="fr-FR"/>
        </w:rPr>
      </w:pPr>
    </w:p>
    <w:p w14:paraId="1E2B80A4" w14:textId="77777777" w:rsidR="009F7497" w:rsidRPr="009F7497" w:rsidRDefault="009F7497" w:rsidP="009F7497">
      <w:pPr>
        <w:jc w:val="right"/>
        <w:rPr>
          <w:sz w:val="20"/>
          <w:szCs w:val="20"/>
          <w:lang w:val="fr-FR"/>
        </w:rPr>
      </w:pPr>
    </w:p>
    <w:p w14:paraId="05F2C5EF" w14:textId="77777777" w:rsidR="009F7497" w:rsidRPr="009F7497" w:rsidRDefault="009F7497" w:rsidP="009F7497">
      <w:pPr>
        <w:jc w:val="right"/>
        <w:rPr>
          <w:sz w:val="20"/>
          <w:szCs w:val="20"/>
          <w:lang w:val="fr-FR"/>
        </w:rPr>
      </w:pPr>
    </w:p>
    <w:p w14:paraId="4DA017B2" w14:textId="77777777" w:rsidR="009F7497" w:rsidRPr="009F7497" w:rsidRDefault="009F7497" w:rsidP="009F7497">
      <w:pPr>
        <w:jc w:val="right"/>
        <w:rPr>
          <w:sz w:val="20"/>
          <w:szCs w:val="20"/>
          <w:lang w:val="fr-FR"/>
        </w:rPr>
      </w:pPr>
    </w:p>
    <w:p w14:paraId="11B9F882" w14:textId="77777777" w:rsidR="009F7497" w:rsidRPr="009F7497" w:rsidRDefault="009F7497" w:rsidP="009F7497">
      <w:pPr>
        <w:jc w:val="right"/>
        <w:rPr>
          <w:sz w:val="20"/>
          <w:szCs w:val="20"/>
          <w:lang w:val="fr-FR"/>
        </w:rPr>
      </w:pPr>
    </w:p>
    <w:p w14:paraId="267F5BD5" w14:textId="77777777" w:rsidR="009F7497" w:rsidRPr="009F7497" w:rsidRDefault="009F7497" w:rsidP="009F7497">
      <w:pPr>
        <w:jc w:val="right"/>
        <w:rPr>
          <w:sz w:val="20"/>
          <w:szCs w:val="20"/>
          <w:lang w:val="fr-FR"/>
        </w:rPr>
      </w:pPr>
    </w:p>
    <w:p w14:paraId="7EF2D497" w14:textId="77777777" w:rsidR="009F7497" w:rsidRPr="009F7497" w:rsidRDefault="009F7497" w:rsidP="009F7497">
      <w:pPr>
        <w:jc w:val="right"/>
        <w:rPr>
          <w:sz w:val="20"/>
          <w:szCs w:val="20"/>
          <w:lang w:val="fr-FR"/>
        </w:rPr>
      </w:pPr>
    </w:p>
    <w:p w14:paraId="44D2995E" w14:textId="77777777" w:rsidR="009F7497" w:rsidRPr="009F7497" w:rsidRDefault="009F7497" w:rsidP="009F7497">
      <w:pPr>
        <w:jc w:val="right"/>
        <w:rPr>
          <w:sz w:val="20"/>
          <w:szCs w:val="20"/>
          <w:lang w:val="fr-FR"/>
        </w:rPr>
      </w:pPr>
    </w:p>
    <w:p w14:paraId="5E52965F" w14:textId="77777777" w:rsidR="009F7497" w:rsidRPr="009F7497" w:rsidRDefault="009F7497" w:rsidP="009F7497">
      <w:pPr>
        <w:jc w:val="right"/>
        <w:rPr>
          <w:sz w:val="20"/>
          <w:szCs w:val="20"/>
          <w:lang w:val="fr-FR"/>
        </w:rPr>
      </w:pPr>
    </w:p>
    <w:p w14:paraId="215F9195" w14:textId="77777777" w:rsidR="009F7497" w:rsidRPr="009F7497" w:rsidRDefault="009F7497" w:rsidP="009F7497">
      <w:pPr>
        <w:jc w:val="right"/>
        <w:rPr>
          <w:sz w:val="20"/>
          <w:szCs w:val="20"/>
          <w:lang w:val="fr-FR"/>
        </w:rPr>
      </w:pPr>
    </w:p>
    <w:p w14:paraId="6A60B726" w14:textId="77777777" w:rsidR="009F7497" w:rsidRPr="009F7497" w:rsidRDefault="009F7497" w:rsidP="009F7497">
      <w:pPr>
        <w:jc w:val="right"/>
        <w:rPr>
          <w:sz w:val="20"/>
          <w:szCs w:val="20"/>
          <w:lang w:val="fr-FR"/>
        </w:rPr>
      </w:pPr>
    </w:p>
    <w:p w14:paraId="1B5F2B96" w14:textId="77777777" w:rsidR="009F7497" w:rsidRPr="009F7497" w:rsidRDefault="009F7497" w:rsidP="009F7497">
      <w:pPr>
        <w:jc w:val="right"/>
        <w:rPr>
          <w:sz w:val="20"/>
          <w:szCs w:val="20"/>
          <w:lang w:val="fr-FR"/>
        </w:rPr>
      </w:pPr>
    </w:p>
    <w:p w14:paraId="2D17D9DB" w14:textId="77777777" w:rsidR="009F7497" w:rsidRPr="009F7497" w:rsidRDefault="009F7497" w:rsidP="009F7497">
      <w:pPr>
        <w:jc w:val="right"/>
        <w:rPr>
          <w:sz w:val="20"/>
          <w:szCs w:val="20"/>
          <w:lang w:val="fr-FR"/>
        </w:rPr>
      </w:pPr>
    </w:p>
    <w:p w14:paraId="070D8186" w14:textId="77777777" w:rsidR="009F7497" w:rsidRPr="009F7497" w:rsidRDefault="009F7497" w:rsidP="009F7497">
      <w:pPr>
        <w:jc w:val="right"/>
        <w:rPr>
          <w:sz w:val="20"/>
          <w:szCs w:val="20"/>
          <w:lang w:val="fr-FR"/>
        </w:rPr>
      </w:pPr>
    </w:p>
    <w:p w14:paraId="2C2EB8CA" w14:textId="77777777" w:rsidR="009F7497" w:rsidRPr="009F7497" w:rsidRDefault="009F7497" w:rsidP="009F7497">
      <w:pPr>
        <w:jc w:val="right"/>
        <w:rPr>
          <w:sz w:val="20"/>
          <w:szCs w:val="20"/>
          <w:lang w:val="fr-FR"/>
        </w:rPr>
      </w:pPr>
    </w:p>
    <w:p w14:paraId="1773DF53" w14:textId="77777777" w:rsidR="009F7497" w:rsidRPr="009F7497" w:rsidRDefault="009F7497" w:rsidP="009F7497">
      <w:pPr>
        <w:rPr>
          <w:sz w:val="20"/>
          <w:szCs w:val="20"/>
          <w:lang w:val="fr-FR"/>
        </w:rPr>
      </w:pPr>
    </w:p>
    <w:p w14:paraId="534B20A2" w14:textId="77777777" w:rsidR="009F7497" w:rsidRPr="009F7497" w:rsidRDefault="009F7497" w:rsidP="009F7497">
      <w:pPr>
        <w:rPr>
          <w:sz w:val="20"/>
          <w:szCs w:val="20"/>
          <w:lang w:val="fr-FR"/>
        </w:rPr>
      </w:pPr>
    </w:p>
    <w:p w14:paraId="042FCA83" w14:textId="77777777" w:rsidR="009F7497" w:rsidRPr="009F7497" w:rsidRDefault="009F7497" w:rsidP="009F7497">
      <w:pPr>
        <w:rPr>
          <w:sz w:val="20"/>
          <w:szCs w:val="20"/>
          <w:lang w:val="fr-FR"/>
        </w:rPr>
      </w:pPr>
    </w:p>
    <w:p w14:paraId="3878A708" w14:textId="77777777" w:rsidR="009F7497" w:rsidRPr="009F7497" w:rsidRDefault="009F7497" w:rsidP="009F7497">
      <w:pPr>
        <w:jc w:val="center"/>
        <w:rPr>
          <w:b/>
          <w:sz w:val="20"/>
          <w:szCs w:val="20"/>
          <w:lang w:val="fr-FR"/>
        </w:rPr>
      </w:pPr>
      <w:r w:rsidRPr="009F7497">
        <w:rPr>
          <w:b/>
          <w:sz w:val="20"/>
          <w:szCs w:val="20"/>
          <w:lang w:val="fr-FR"/>
        </w:rPr>
        <w:lastRenderedPageBreak/>
        <w:t xml:space="preserve">Fiche de candidature relative à la demande d’ouverture d’un enseignement de spécialité EPPCS </w:t>
      </w:r>
    </w:p>
    <w:p w14:paraId="07ACB487" w14:textId="77777777" w:rsidR="009F7497" w:rsidRPr="009F7497" w:rsidRDefault="009F7497" w:rsidP="009F7497">
      <w:pPr>
        <w:jc w:val="center"/>
        <w:rPr>
          <w:bCs/>
          <w:sz w:val="20"/>
          <w:szCs w:val="20"/>
          <w:lang w:val="fr-FR"/>
        </w:rPr>
      </w:pPr>
      <w:proofErr w:type="gramStart"/>
      <w:r w:rsidRPr="009F7497">
        <w:rPr>
          <w:sz w:val="20"/>
          <w:szCs w:val="20"/>
          <w:lang w:val="fr-FR"/>
        </w:rPr>
        <w:t>à</w:t>
      </w:r>
      <w:proofErr w:type="gramEnd"/>
      <w:r w:rsidRPr="009F7497">
        <w:rPr>
          <w:sz w:val="20"/>
          <w:szCs w:val="20"/>
          <w:lang w:val="fr-FR"/>
        </w:rPr>
        <w:t xml:space="preserve"> envoyer </w:t>
      </w:r>
      <w:r w:rsidRPr="009F7497">
        <w:rPr>
          <w:bCs/>
          <w:sz w:val="20"/>
          <w:szCs w:val="20"/>
          <w:lang w:val="fr-FR"/>
        </w:rPr>
        <w:t xml:space="preserve">avant </w:t>
      </w:r>
      <w:r w:rsidRPr="009F7497">
        <w:rPr>
          <w:sz w:val="20"/>
          <w:szCs w:val="20"/>
          <w:lang w:val="fr-FR"/>
        </w:rPr>
        <w:t xml:space="preserve">le 21 octobre 2022 </w:t>
      </w:r>
      <w:r w:rsidRPr="009F7497">
        <w:rPr>
          <w:bCs/>
          <w:sz w:val="20"/>
          <w:szCs w:val="20"/>
          <w:lang w:val="fr-FR"/>
        </w:rPr>
        <w:t>à l’adresse : ce.sgra@region-académique-paca.fr</w:t>
      </w:r>
    </w:p>
    <w:p w14:paraId="079651A0" w14:textId="77777777" w:rsidR="009F7497" w:rsidRPr="009F7497" w:rsidRDefault="009F7497" w:rsidP="009F7497">
      <w:pPr>
        <w:rPr>
          <w:b/>
          <w:bCs/>
          <w:sz w:val="20"/>
          <w:szCs w:val="20"/>
          <w:lang w:val="fr-FR"/>
        </w:rPr>
      </w:pPr>
    </w:p>
    <w:tbl>
      <w:tblPr>
        <w:tblStyle w:val="Grilledutableau"/>
        <w:tblW w:w="0" w:type="auto"/>
        <w:tblLook w:val="04A0" w:firstRow="1" w:lastRow="0" w:firstColumn="1" w:lastColumn="0" w:noHBand="0" w:noVBand="1"/>
      </w:tblPr>
      <w:tblGrid>
        <w:gridCol w:w="2122"/>
        <w:gridCol w:w="6934"/>
      </w:tblGrid>
      <w:tr w:rsidR="009F7497" w:rsidRPr="009F7497" w14:paraId="049FFDC5" w14:textId="77777777" w:rsidTr="00CC74FB">
        <w:trPr>
          <w:trHeight w:val="600"/>
        </w:trPr>
        <w:tc>
          <w:tcPr>
            <w:tcW w:w="2122" w:type="dxa"/>
            <w:vAlign w:val="center"/>
          </w:tcPr>
          <w:p w14:paraId="2CC60B8B" w14:textId="77777777" w:rsidR="009F7497" w:rsidRPr="009F7497" w:rsidRDefault="009F7497" w:rsidP="00CC74FB">
            <w:pPr>
              <w:rPr>
                <w:bCs/>
                <w:sz w:val="20"/>
                <w:szCs w:val="20"/>
              </w:rPr>
            </w:pPr>
            <w:r w:rsidRPr="009F7497">
              <w:rPr>
                <w:bCs/>
                <w:sz w:val="20"/>
                <w:szCs w:val="20"/>
              </w:rPr>
              <w:t>ÉTABLISSEMENT</w:t>
            </w:r>
          </w:p>
        </w:tc>
        <w:tc>
          <w:tcPr>
            <w:tcW w:w="6934" w:type="dxa"/>
          </w:tcPr>
          <w:p w14:paraId="44B5919D" w14:textId="77777777" w:rsidR="009F7497" w:rsidRPr="009F7497" w:rsidRDefault="009F7497" w:rsidP="00CC74FB">
            <w:pPr>
              <w:rPr>
                <w:sz w:val="20"/>
                <w:szCs w:val="20"/>
              </w:rPr>
            </w:pPr>
          </w:p>
        </w:tc>
      </w:tr>
      <w:tr w:rsidR="009F7497" w:rsidRPr="009F7497" w14:paraId="22AD2562" w14:textId="77777777" w:rsidTr="00CC74FB">
        <w:trPr>
          <w:trHeight w:val="563"/>
        </w:trPr>
        <w:tc>
          <w:tcPr>
            <w:tcW w:w="2122" w:type="dxa"/>
            <w:vAlign w:val="center"/>
          </w:tcPr>
          <w:p w14:paraId="08D717DB" w14:textId="77777777" w:rsidR="009F7497" w:rsidRPr="009F7497" w:rsidRDefault="009F7497" w:rsidP="00CC74FB">
            <w:pPr>
              <w:rPr>
                <w:bCs/>
                <w:sz w:val="20"/>
                <w:szCs w:val="20"/>
              </w:rPr>
            </w:pPr>
            <w:r w:rsidRPr="009F7497">
              <w:rPr>
                <w:bCs/>
                <w:sz w:val="20"/>
                <w:szCs w:val="20"/>
              </w:rPr>
              <w:t>ENSEIGNANT RÉFÉRENT</w:t>
            </w:r>
          </w:p>
        </w:tc>
        <w:tc>
          <w:tcPr>
            <w:tcW w:w="6934" w:type="dxa"/>
          </w:tcPr>
          <w:p w14:paraId="3EBAE342" w14:textId="77777777" w:rsidR="009F7497" w:rsidRPr="009F7497" w:rsidRDefault="009F7497" w:rsidP="00CC74FB">
            <w:pPr>
              <w:rPr>
                <w:sz w:val="20"/>
                <w:szCs w:val="20"/>
              </w:rPr>
            </w:pPr>
          </w:p>
        </w:tc>
      </w:tr>
      <w:tr w:rsidR="009F7497" w:rsidRPr="009F7497" w14:paraId="01AD01EB" w14:textId="77777777" w:rsidTr="00CC74FB">
        <w:trPr>
          <w:trHeight w:val="557"/>
        </w:trPr>
        <w:tc>
          <w:tcPr>
            <w:tcW w:w="2122" w:type="dxa"/>
            <w:vAlign w:val="center"/>
          </w:tcPr>
          <w:p w14:paraId="677FE23D" w14:textId="77777777" w:rsidR="009F7497" w:rsidRPr="009F7497" w:rsidRDefault="009F7497" w:rsidP="00CC74FB">
            <w:pPr>
              <w:rPr>
                <w:bCs/>
                <w:sz w:val="20"/>
                <w:szCs w:val="20"/>
              </w:rPr>
            </w:pPr>
            <w:r w:rsidRPr="009F7497">
              <w:rPr>
                <w:bCs/>
                <w:sz w:val="20"/>
                <w:szCs w:val="20"/>
              </w:rPr>
              <w:t>INTERVENANTS PRESSENTIS</w:t>
            </w:r>
          </w:p>
        </w:tc>
        <w:tc>
          <w:tcPr>
            <w:tcW w:w="6934" w:type="dxa"/>
          </w:tcPr>
          <w:p w14:paraId="30171C7F" w14:textId="77777777" w:rsidR="009F7497" w:rsidRPr="009F7497" w:rsidRDefault="009F7497" w:rsidP="00CC74FB">
            <w:pPr>
              <w:rPr>
                <w:sz w:val="20"/>
                <w:szCs w:val="20"/>
              </w:rPr>
            </w:pPr>
          </w:p>
        </w:tc>
      </w:tr>
    </w:tbl>
    <w:p w14:paraId="652F3650" w14:textId="77777777" w:rsidR="009F7497" w:rsidRPr="009F7497" w:rsidRDefault="009F7497" w:rsidP="009F7497">
      <w:pPr>
        <w:rPr>
          <w:sz w:val="20"/>
          <w:szCs w:val="20"/>
        </w:rPr>
      </w:pPr>
    </w:p>
    <w:p w14:paraId="5F437FC4" w14:textId="77777777" w:rsidR="009F7497" w:rsidRPr="009F7497" w:rsidRDefault="009F7497" w:rsidP="009F7497">
      <w:pPr>
        <w:rPr>
          <w:rFonts w:eastAsia="Times New Roman"/>
          <w:bCs/>
          <w:sz w:val="20"/>
          <w:szCs w:val="20"/>
          <w:lang w:val="fr-FR" w:eastAsia="fr-FR"/>
        </w:rPr>
      </w:pPr>
      <w:r w:rsidRPr="009F7497">
        <w:rPr>
          <w:bCs/>
          <w:iCs/>
          <w:sz w:val="20"/>
          <w:szCs w:val="20"/>
          <w:lang w:val="fr-FR"/>
        </w:rPr>
        <w:t>Remarque : le document ne devra pas excéder deux pages (recto-verso) et respecter les quatre entrées proposées comme suit.</w:t>
      </w:r>
    </w:p>
    <w:p w14:paraId="3B8977D7" w14:textId="77777777" w:rsidR="009F7497" w:rsidRPr="009F7497" w:rsidRDefault="009F7497" w:rsidP="009F7497">
      <w:pPr>
        <w:rPr>
          <w:sz w:val="20"/>
          <w:szCs w:val="20"/>
          <w:lang w:val="fr-FR"/>
        </w:rPr>
      </w:pPr>
    </w:p>
    <w:p w14:paraId="23C753B1" w14:textId="77777777" w:rsidR="009F7497" w:rsidRPr="009F7497" w:rsidRDefault="009F7497" w:rsidP="009F7497">
      <w:pPr>
        <w:pStyle w:val="Paragraphedeliste"/>
        <w:widowControl/>
        <w:numPr>
          <w:ilvl w:val="0"/>
          <w:numId w:val="2"/>
        </w:numPr>
        <w:autoSpaceDE/>
        <w:autoSpaceDN/>
        <w:spacing w:before="0"/>
        <w:contextualSpacing/>
        <w:rPr>
          <w:bCs/>
          <w:sz w:val="20"/>
          <w:szCs w:val="20"/>
        </w:rPr>
      </w:pPr>
      <w:proofErr w:type="gramStart"/>
      <w:r w:rsidRPr="009F7497">
        <w:rPr>
          <w:bCs/>
          <w:sz w:val="20"/>
          <w:szCs w:val="20"/>
        </w:rPr>
        <w:t>CONTEXTE :</w:t>
      </w:r>
      <w:proofErr w:type="gramEnd"/>
    </w:p>
    <w:p w14:paraId="30E265F3" w14:textId="77777777" w:rsidR="009F7497" w:rsidRPr="009F7497" w:rsidRDefault="009F7497" w:rsidP="009F7497">
      <w:pPr>
        <w:rPr>
          <w:sz w:val="20"/>
          <w:szCs w:val="20"/>
        </w:rPr>
      </w:pPr>
    </w:p>
    <w:p w14:paraId="786DDB0A" w14:textId="77777777" w:rsidR="009F7497" w:rsidRPr="009F7497" w:rsidRDefault="009F7497" w:rsidP="009F7497">
      <w:pPr>
        <w:pStyle w:val="Paragraphedeliste"/>
        <w:widowControl/>
        <w:numPr>
          <w:ilvl w:val="0"/>
          <w:numId w:val="2"/>
        </w:numPr>
        <w:autoSpaceDE/>
        <w:autoSpaceDN/>
        <w:spacing w:before="0"/>
        <w:contextualSpacing/>
        <w:rPr>
          <w:bCs/>
          <w:sz w:val="20"/>
          <w:szCs w:val="20"/>
        </w:rPr>
      </w:pPr>
      <w:r w:rsidRPr="009F7497">
        <w:rPr>
          <w:bCs/>
          <w:sz w:val="20"/>
          <w:szCs w:val="20"/>
        </w:rPr>
        <w:t>MOTIVATION(S</w:t>
      </w:r>
      <w:proofErr w:type="gramStart"/>
      <w:r w:rsidRPr="009F7497">
        <w:rPr>
          <w:bCs/>
          <w:sz w:val="20"/>
          <w:szCs w:val="20"/>
        </w:rPr>
        <w:t>) :</w:t>
      </w:r>
      <w:proofErr w:type="gramEnd"/>
    </w:p>
    <w:p w14:paraId="2978FE94" w14:textId="77777777" w:rsidR="009F7497" w:rsidRPr="009F7497" w:rsidRDefault="009F7497" w:rsidP="009F7497">
      <w:pPr>
        <w:pStyle w:val="Paragraphedeliste"/>
        <w:rPr>
          <w:bCs/>
          <w:sz w:val="20"/>
          <w:szCs w:val="20"/>
        </w:rPr>
      </w:pPr>
    </w:p>
    <w:p w14:paraId="21CB35A1" w14:textId="77777777" w:rsidR="009F7497" w:rsidRPr="009F7497" w:rsidRDefault="009F7497" w:rsidP="009F7497">
      <w:pPr>
        <w:pStyle w:val="Paragraphedeliste"/>
        <w:widowControl/>
        <w:numPr>
          <w:ilvl w:val="0"/>
          <w:numId w:val="2"/>
        </w:numPr>
        <w:autoSpaceDE/>
        <w:autoSpaceDN/>
        <w:spacing w:before="0"/>
        <w:contextualSpacing/>
        <w:rPr>
          <w:bCs/>
          <w:sz w:val="20"/>
          <w:szCs w:val="20"/>
        </w:rPr>
      </w:pPr>
      <w:proofErr w:type="gramStart"/>
      <w:r w:rsidRPr="009F7497">
        <w:rPr>
          <w:bCs/>
          <w:sz w:val="20"/>
          <w:szCs w:val="20"/>
        </w:rPr>
        <w:t>RESSOURCES :</w:t>
      </w:r>
      <w:proofErr w:type="gramEnd"/>
    </w:p>
    <w:p w14:paraId="0BD52E5E" w14:textId="77777777" w:rsidR="009F7497" w:rsidRPr="009F7497" w:rsidRDefault="009F7497" w:rsidP="009F7497">
      <w:pPr>
        <w:rPr>
          <w:sz w:val="20"/>
          <w:szCs w:val="20"/>
        </w:rPr>
      </w:pPr>
    </w:p>
    <w:p w14:paraId="0C608D90" w14:textId="77777777" w:rsidR="009F7497" w:rsidRPr="009F7497" w:rsidRDefault="009F7497" w:rsidP="009F7497">
      <w:pPr>
        <w:pStyle w:val="Paragraphedeliste"/>
        <w:widowControl/>
        <w:numPr>
          <w:ilvl w:val="0"/>
          <w:numId w:val="2"/>
        </w:numPr>
        <w:autoSpaceDE/>
        <w:autoSpaceDN/>
        <w:spacing w:before="0"/>
        <w:contextualSpacing/>
        <w:rPr>
          <w:bCs/>
          <w:sz w:val="20"/>
          <w:szCs w:val="20"/>
        </w:rPr>
      </w:pPr>
      <w:proofErr w:type="gramStart"/>
      <w:r w:rsidRPr="009F7497">
        <w:rPr>
          <w:bCs/>
          <w:sz w:val="20"/>
          <w:szCs w:val="20"/>
        </w:rPr>
        <w:t>PRÉCISIONS :</w:t>
      </w:r>
      <w:proofErr w:type="gramEnd"/>
    </w:p>
    <w:p w14:paraId="6F2396BD" w14:textId="77777777" w:rsidR="009F7497" w:rsidRPr="009F7497" w:rsidRDefault="009F7497" w:rsidP="009F7497">
      <w:pPr>
        <w:rPr>
          <w:bCs/>
          <w:sz w:val="20"/>
          <w:szCs w:val="20"/>
        </w:rPr>
      </w:pPr>
    </w:p>
    <w:p w14:paraId="435AD12A" w14:textId="77777777" w:rsidR="009F7497" w:rsidRPr="009F7497" w:rsidRDefault="009F7497" w:rsidP="009F7497">
      <w:pPr>
        <w:rPr>
          <w:iCs/>
          <w:sz w:val="20"/>
          <w:szCs w:val="20"/>
          <w:lang w:val="fr-FR"/>
        </w:rPr>
      </w:pPr>
      <w:r w:rsidRPr="009F7497">
        <w:rPr>
          <w:iCs/>
          <w:sz w:val="20"/>
          <w:szCs w:val="20"/>
          <w:lang w:val="fr-FR"/>
        </w:rPr>
        <w:t>La plus-value de cette formation au sein de l’établissement.</w:t>
      </w:r>
    </w:p>
    <w:p w14:paraId="0E16FF85" w14:textId="77777777" w:rsidR="009F7497" w:rsidRPr="009F7497" w:rsidRDefault="009F7497" w:rsidP="009F7497">
      <w:pPr>
        <w:rPr>
          <w:iCs/>
          <w:sz w:val="20"/>
          <w:szCs w:val="20"/>
          <w:lang w:val="fr-FR"/>
        </w:rPr>
      </w:pPr>
      <w:r w:rsidRPr="009F7497">
        <w:rPr>
          <w:iCs/>
          <w:sz w:val="20"/>
          <w:szCs w:val="20"/>
          <w:lang w:val="fr-FR"/>
        </w:rPr>
        <w:t>La complémentarité avec l’enseignement optionnel et obligatoire de l’EPS, la place de l’AS.</w:t>
      </w:r>
    </w:p>
    <w:p w14:paraId="23553AD4" w14:textId="77777777" w:rsidR="009F7497" w:rsidRPr="009F7497" w:rsidRDefault="009F7497" w:rsidP="009F7497">
      <w:pPr>
        <w:rPr>
          <w:iCs/>
          <w:sz w:val="20"/>
          <w:szCs w:val="20"/>
          <w:lang w:val="fr-FR"/>
        </w:rPr>
      </w:pPr>
      <w:r w:rsidRPr="009F7497">
        <w:rPr>
          <w:iCs/>
          <w:sz w:val="20"/>
          <w:szCs w:val="20"/>
          <w:lang w:val="fr-FR"/>
        </w:rPr>
        <w:t>La capacité de l’équipe à porter cet enseignement, au-delà d’un seul enseignant et dans les niveaux d’exigence attendus.</w:t>
      </w:r>
    </w:p>
    <w:p w14:paraId="17BEA29F" w14:textId="77777777" w:rsidR="009F7497" w:rsidRPr="009F7497" w:rsidRDefault="009F7497" w:rsidP="009F7497">
      <w:pPr>
        <w:rPr>
          <w:iCs/>
          <w:sz w:val="20"/>
          <w:szCs w:val="20"/>
          <w:lang w:val="fr-FR"/>
        </w:rPr>
      </w:pPr>
      <w:r w:rsidRPr="009F7497">
        <w:rPr>
          <w:iCs/>
          <w:sz w:val="20"/>
          <w:szCs w:val="20"/>
          <w:lang w:val="fr-FR"/>
        </w:rPr>
        <w:t>Les collaborations envisagées avec le monde fédéral et/ou professionnel.</w:t>
      </w:r>
    </w:p>
    <w:p w14:paraId="07716BCE" w14:textId="77777777" w:rsidR="009F7497" w:rsidRPr="009F7497" w:rsidRDefault="009F7497" w:rsidP="009F7497">
      <w:pPr>
        <w:rPr>
          <w:i/>
          <w:iCs/>
          <w:sz w:val="20"/>
          <w:szCs w:val="20"/>
          <w:lang w:val="fr-FR"/>
        </w:rPr>
      </w:pPr>
    </w:p>
    <w:p w14:paraId="25418099" w14:textId="77777777" w:rsidR="009F7497" w:rsidRPr="009F7497" w:rsidRDefault="009F7497" w:rsidP="009F7497">
      <w:pPr>
        <w:rPr>
          <w:i/>
          <w:iCs/>
          <w:sz w:val="20"/>
          <w:szCs w:val="20"/>
          <w:lang w:val="fr-FR"/>
        </w:rPr>
      </w:pPr>
    </w:p>
    <w:p w14:paraId="5CEF415A" w14:textId="77777777" w:rsidR="009F7497" w:rsidRPr="009F7497" w:rsidRDefault="009F7497" w:rsidP="009F7497">
      <w:pPr>
        <w:rPr>
          <w:sz w:val="20"/>
          <w:szCs w:val="20"/>
          <w:lang w:val="fr-FR"/>
        </w:rPr>
      </w:pPr>
    </w:p>
    <w:p w14:paraId="61AAF661" w14:textId="77777777" w:rsidR="009F7497" w:rsidRPr="009F7497" w:rsidRDefault="009F7497" w:rsidP="009F7497">
      <w:pPr>
        <w:rPr>
          <w:sz w:val="20"/>
          <w:szCs w:val="20"/>
          <w:lang w:val="fr-FR"/>
        </w:rPr>
      </w:pPr>
    </w:p>
    <w:p w14:paraId="76BADB86" w14:textId="77777777" w:rsidR="009F7497" w:rsidRPr="009F7497" w:rsidRDefault="009F7497" w:rsidP="009F7497">
      <w:pPr>
        <w:rPr>
          <w:rFonts w:eastAsia="Times New Roman"/>
          <w:b/>
          <w:bCs/>
          <w:sz w:val="20"/>
          <w:szCs w:val="20"/>
          <w:lang w:val="fr-FR" w:eastAsia="fr-FR"/>
        </w:rPr>
      </w:pPr>
      <w:r w:rsidRPr="009F7497">
        <w:rPr>
          <w:rFonts w:eastAsia="Times New Roman"/>
          <w:b/>
          <w:bCs/>
          <w:sz w:val="20"/>
          <w:szCs w:val="20"/>
          <w:lang w:val="fr-FR" w:eastAsia="fr-FR"/>
        </w:rPr>
        <w:t>Avis du chef d’établissement :</w:t>
      </w:r>
    </w:p>
    <w:p w14:paraId="7984A048" w14:textId="77777777" w:rsidR="009F7497" w:rsidRPr="009F7497" w:rsidRDefault="009F7497" w:rsidP="009F7497">
      <w:pPr>
        <w:rPr>
          <w:rFonts w:eastAsia="Times New Roman"/>
          <w:b/>
          <w:bCs/>
          <w:sz w:val="20"/>
          <w:szCs w:val="20"/>
          <w:lang w:val="fr-FR" w:eastAsia="fr-FR"/>
        </w:rPr>
      </w:pPr>
    </w:p>
    <w:p w14:paraId="7005ED0E" w14:textId="77777777" w:rsidR="009F7497" w:rsidRPr="009F7497" w:rsidRDefault="009F7497" w:rsidP="009F7497">
      <w:pPr>
        <w:rPr>
          <w:rFonts w:eastAsia="Times New Roman"/>
          <w:b/>
          <w:bCs/>
          <w:sz w:val="20"/>
          <w:szCs w:val="20"/>
          <w:lang w:val="fr-FR" w:eastAsia="fr-FR"/>
        </w:rPr>
      </w:pPr>
    </w:p>
    <w:p w14:paraId="2E641884" w14:textId="77777777" w:rsidR="009F7497" w:rsidRPr="009F7497" w:rsidRDefault="009F7497" w:rsidP="009F7497">
      <w:pPr>
        <w:rPr>
          <w:rFonts w:eastAsia="Times New Roman"/>
          <w:b/>
          <w:bCs/>
          <w:sz w:val="20"/>
          <w:szCs w:val="20"/>
          <w:lang w:val="fr-FR" w:eastAsia="fr-FR"/>
        </w:rPr>
      </w:pPr>
    </w:p>
    <w:p w14:paraId="510D3F1E" w14:textId="77777777" w:rsidR="009F7497" w:rsidRPr="009F7497" w:rsidRDefault="009F7497" w:rsidP="009F7497">
      <w:pPr>
        <w:rPr>
          <w:rFonts w:eastAsia="Times New Roman"/>
          <w:b/>
          <w:bCs/>
          <w:sz w:val="20"/>
          <w:szCs w:val="20"/>
          <w:lang w:val="fr-FR" w:eastAsia="fr-FR"/>
        </w:rPr>
      </w:pPr>
    </w:p>
    <w:p w14:paraId="043B4076" w14:textId="77777777" w:rsidR="009F7497" w:rsidRPr="009F7497" w:rsidRDefault="009F7497" w:rsidP="009F7497">
      <w:pPr>
        <w:rPr>
          <w:rFonts w:eastAsia="Times New Roman"/>
          <w:b/>
          <w:bCs/>
          <w:sz w:val="20"/>
          <w:szCs w:val="20"/>
          <w:lang w:val="fr-FR" w:eastAsia="fr-FR"/>
        </w:rPr>
      </w:pPr>
    </w:p>
    <w:p w14:paraId="7024AB2F" w14:textId="77777777" w:rsidR="009F7497" w:rsidRPr="009F7497" w:rsidRDefault="009F7497" w:rsidP="009F7497">
      <w:pPr>
        <w:rPr>
          <w:rFonts w:eastAsia="Times New Roman"/>
          <w:b/>
          <w:bCs/>
          <w:sz w:val="20"/>
          <w:szCs w:val="20"/>
          <w:lang w:val="fr-FR" w:eastAsia="fr-FR"/>
        </w:rPr>
      </w:pPr>
    </w:p>
    <w:p w14:paraId="49C80C61" w14:textId="77777777" w:rsidR="009F7497" w:rsidRPr="009F7497" w:rsidRDefault="009F7497" w:rsidP="009F7497">
      <w:pPr>
        <w:rPr>
          <w:rFonts w:eastAsia="Times New Roman"/>
          <w:b/>
          <w:bCs/>
          <w:sz w:val="20"/>
          <w:szCs w:val="20"/>
          <w:lang w:val="fr-FR" w:eastAsia="fr-FR"/>
        </w:rPr>
      </w:pPr>
      <w:r w:rsidRPr="009F7497">
        <w:rPr>
          <w:rFonts w:eastAsia="Times New Roman"/>
          <w:b/>
          <w:bCs/>
          <w:sz w:val="20"/>
          <w:szCs w:val="20"/>
          <w:lang w:val="fr-FR" w:eastAsia="fr-FR"/>
        </w:rPr>
        <w:t xml:space="preserve">Date et signature du chef d’établissement : </w:t>
      </w:r>
    </w:p>
    <w:p w14:paraId="1A8FCB12" w14:textId="77777777" w:rsidR="009F7497" w:rsidRPr="009F7497" w:rsidRDefault="009F7497" w:rsidP="009F7497">
      <w:pPr>
        <w:rPr>
          <w:rFonts w:eastAsia="Times New Roman"/>
          <w:b/>
          <w:bCs/>
          <w:sz w:val="20"/>
          <w:szCs w:val="20"/>
          <w:lang w:val="fr-FR" w:eastAsia="fr-FR"/>
        </w:rPr>
      </w:pPr>
    </w:p>
    <w:p w14:paraId="196E1F3F" w14:textId="77777777" w:rsidR="009F7497" w:rsidRPr="009F7497" w:rsidRDefault="009F7497" w:rsidP="009F7497">
      <w:pPr>
        <w:rPr>
          <w:rFonts w:eastAsia="Times New Roman"/>
          <w:b/>
          <w:bCs/>
          <w:sz w:val="20"/>
          <w:szCs w:val="20"/>
          <w:lang w:val="fr-FR" w:eastAsia="fr-FR"/>
        </w:rPr>
      </w:pPr>
    </w:p>
    <w:p w14:paraId="30B18616" w14:textId="77777777" w:rsidR="009F7497" w:rsidRPr="009F7497" w:rsidRDefault="009F7497" w:rsidP="009F7497">
      <w:pPr>
        <w:rPr>
          <w:rFonts w:eastAsia="Times New Roman"/>
          <w:b/>
          <w:bCs/>
          <w:sz w:val="20"/>
          <w:szCs w:val="20"/>
          <w:lang w:val="fr-FR" w:eastAsia="fr-FR"/>
        </w:rPr>
      </w:pPr>
    </w:p>
    <w:p w14:paraId="2571B76F" w14:textId="77777777" w:rsidR="009F7497" w:rsidRPr="009F7497" w:rsidRDefault="009F7497" w:rsidP="009F7497">
      <w:pPr>
        <w:rPr>
          <w:rFonts w:eastAsia="Times New Roman"/>
          <w:b/>
          <w:bCs/>
          <w:sz w:val="20"/>
          <w:szCs w:val="20"/>
          <w:lang w:val="fr-FR" w:eastAsia="fr-FR"/>
        </w:rPr>
      </w:pPr>
    </w:p>
    <w:p w14:paraId="1696F511" w14:textId="77777777" w:rsidR="009F7497" w:rsidRPr="009F7497" w:rsidRDefault="009F7497" w:rsidP="009F7497">
      <w:pPr>
        <w:rPr>
          <w:rFonts w:eastAsia="Times New Roman"/>
          <w:b/>
          <w:bCs/>
          <w:sz w:val="20"/>
          <w:szCs w:val="20"/>
          <w:lang w:val="fr-FR" w:eastAsia="fr-FR"/>
        </w:rPr>
      </w:pPr>
    </w:p>
    <w:p w14:paraId="38445B8D" w14:textId="77777777" w:rsidR="009F7497" w:rsidRPr="009F7497" w:rsidRDefault="009F7497" w:rsidP="009F7497">
      <w:pPr>
        <w:rPr>
          <w:rFonts w:eastAsia="Times New Roman"/>
          <w:b/>
          <w:bCs/>
          <w:sz w:val="20"/>
          <w:szCs w:val="20"/>
          <w:lang w:val="fr-FR" w:eastAsia="fr-FR"/>
        </w:rPr>
      </w:pPr>
    </w:p>
    <w:p w14:paraId="317909EA" w14:textId="77777777" w:rsidR="009F7497" w:rsidRPr="009F7497" w:rsidRDefault="009F7497" w:rsidP="009F7497">
      <w:pPr>
        <w:rPr>
          <w:sz w:val="20"/>
          <w:szCs w:val="20"/>
          <w:lang w:val="fr-FR"/>
        </w:rPr>
      </w:pPr>
      <w:r w:rsidRPr="009F7497">
        <w:rPr>
          <w:rFonts w:eastAsia="Times New Roman"/>
          <w:b/>
          <w:bCs/>
          <w:sz w:val="20"/>
          <w:szCs w:val="20"/>
          <w:lang w:val="fr-FR" w:eastAsia="fr-FR"/>
        </w:rPr>
        <w:t xml:space="preserve">Avis du réseau d’établissement si disponible : </w:t>
      </w:r>
    </w:p>
    <w:p w14:paraId="0B7E19BF" w14:textId="77777777" w:rsidR="009F7497" w:rsidRPr="009F7497" w:rsidRDefault="009F7497" w:rsidP="009F7497">
      <w:pPr>
        <w:adjustRightInd w:val="0"/>
        <w:spacing w:line="227" w:lineRule="auto"/>
        <w:jc w:val="both"/>
        <w:rPr>
          <w:sz w:val="20"/>
          <w:szCs w:val="20"/>
          <w:lang w:val="fr-FR"/>
        </w:rPr>
      </w:pPr>
    </w:p>
    <w:p w14:paraId="7FAE6FA7" w14:textId="77777777" w:rsidR="00B77FFA" w:rsidRPr="009F7497" w:rsidRDefault="00B77FFA">
      <w:pPr>
        <w:rPr>
          <w:sz w:val="20"/>
          <w:szCs w:val="20"/>
          <w:lang w:val="fr-FR"/>
        </w:rPr>
      </w:pPr>
    </w:p>
    <w:sectPr w:rsidR="00B77FFA" w:rsidRPr="009F7497" w:rsidSect="009F7497">
      <w:headerReference w:type="even" r:id="rId7"/>
      <w:headerReference w:type="default" r:id="rId8"/>
      <w:footerReference w:type="default" r:id="rId9"/>
      <w:headerReference w:type="first" r:id="rId10"/>
      <w:pgSz w:w="11910" w:h="16840"/>
      <w:pgMar w:top="964" w:right="853" w:bottom="28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5072" w14:textId="77777777" w:rsidR="007E29E2" w:rsidRDefault="007E29E2">
      <w:r>
        <w:separator/>
      </w:r>
    </w:p>
  </w:endnote>
  <w:endnote w:type="continuationSeparator" w:id="0">
    <w:p w14:paraId="2D7B0092" w14:textId="77777777" w:rsidR="007E29E2" w:rsidRDefault="007E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C594" w14:textId="77777777" w:rsidR="009F5FDE" w:rsidRPr="00CF32AA" w:rsidRDefault="00000000" w:rsidP="003C7C42">
    <w:pPr>
      <w:pStyle w:val="Pieddepage"/>
      <w:rPr>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F8C0" w14:textId="77777777" w:rsidR="007E29E2" w:rsidRDefault="007E29E2">
      <w:r>
        <w:separator/>
      </w:r>
    </w:p>
  </w:footnote>
  <w:footnote w:type="continuationSeparator" w:id="0">
    <w:p w14:paraId="08ED62E0" w14:textId="77777777" w:rsidR="007E29E2" w:rsidRDefault="007E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34B0" w14:textId="77777777" w:rsidR="00DC765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6915" w14:textId="77777777" w:rsidR="009F5FDE" w:rsidRPr="003240AC" w:rsidRDefault="00000000" w:rsidP="003240AC">
    <w:pPr>
      <w:pStyle w:val="En-tte"/>
      <w:tabs>
        <w:tab w:val="clear" w:pos="4513"/>
      </w:tabs>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7DDD" w14:textId="77777777" w:rsidR="00DC765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E4D"/>
    <w:multiLevelType w:val="hybridMultilevel"/>
    <w:tmpl w:val="F8BCF3D8"/>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79130A"/>
    <w:multiLevelType w:val="hybridMultilevel"/>
    <w:tmpl w:val="320697F0"/>
    <w:lvl w:ilvl="0" w:tplc="249246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E95D04"/>
    <w:multiLevelType w:val="hybridMultilevel"/>
    <w:tmpl w:val="E5A2F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815676">
    <w:abstractNumId w:val="1"/>
  </w:num>
  <w:num w:numId="2" w16cid:durableId="988511615">
    <w:abstractNumId w:val="2"/>
  </w:num>
  <w:num w:numId="3" w16cid:durableId="52483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97"/>
    <w:rsid w:val="007E29E2"/>
    <w:rsid w:val="009F7497"/>
    <w:rsid w:val="00A10272"/>
    <w:rsid w:val="00B77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7C8B"/>
  <w15:chartTrackingRefBased/>
  <w15:docId w15:val="{C8F2EA44-C6A3-44E8-9CD4-BD23B598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7497"/>
    <w:pPr>
      <w:widowControl w:val="0"/>
      <w:autoSpaceDE w:val="0"/>
      <w:autoSpaceDN w:val="0"/>
      <w:spacing w:after="0" w:line="240" w:lineRule="auto"/>
    </w:pPr>
    <w:rPr>
      <w:rFonts w:ascii="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9F7497"/>
    <w:pPr>
      <w:spacing w:line="276" w:lineRule="auto"/>
    </w:pPr>
    <w:rPr>
      <w:sz w:val="20"/>
      <w:lang w:val="fr-FR"/>
    </w:rPr>
  </w:style>
  <w:style w:type="character" w:customStyle="1" w:styleId="CorpsdetexteCar">
    <w:name w:val="Corps de texte Car"/>
    <w:basedOn w:val="Policepardfaut"/>
    <w:link w:val="Corpsdetexte"/>
    <w:uiPriority w:val="1"/>
    <w:rsid w:val="009F7497"/>
    <w:rPr>
      <w:rFonts w:ascii="Arial" w:hAnsi="Arial" w:cs="Arial"/>
      <w:sz w:val="20"/>
    </w:rPr>
  </w:style>
  <w:style w:type="paragraph" w:styleId="Paragraphedeliste">
    <w:name w:val="List Paragraph"/>
    <w:basedOn w:val="Normal"/>
    <w:uiPriority w:val="34"/>
    <w:qFormat/>
    <w:rsid w:val="009F7497"/>
    <w:pPr>
      <w:spacing w:before="2"/>
      <w:ind w:left="474" w:hanging="346"/>
    </w:pPr>
  </w:style>
  <w:style w:type="paragraph" w:styleId="En-tte">
    <w:name w:val="header"/>
    <w:basedOn w:val="Normal"/>
    <w:link w:val="En-tteCar"/>
    <w:unhideWhenUsed/>
    <w:rsid w:val="009F7497"/>
    <w:pPr>
      <w:tabs>
        <w:tab w:val="center" w:pos="4513"/>
        <w:tab w:val="right" w:pos="9026"/>
      </w:tabs>
    </w:pPr>
  </w:style>
  <w:style w:type="character" w:customStyle="1" w:styleId="En-tteCar">
    <w:name w:val="En-tête Car"/>
    <w:basedOn w:val="Policepardfaut"/>
    <w:link w:val="En-tte"/>
    <w:rsid w:val="009F7497"/>
    <w:rPr>
      <w:rFonts w:ascii="Arial" w:hAnsi="Arial" w:cs="Arial"/>
      <w:lang w:val="en-US"/>
    </w:rPr>
  </w:style>
  <w:style w:type="paragraph" w:styleId="Pieddepage">
    <w:name w:val="footer"/>
    <w:basedOn w:val="Normal"/>
    <w:link w:val="PieddepageCar"/>
    <w:uiPriority w:val="99"/>
    <w:unhideWhenUsed/>
    <w:rsid w:val="009F7497"/>
    <w:pPr>
      <w:tabs>
        <w:tab w:val="center" w:pos="4513"/>
        <w:tab w:val="right" w:pos="9026"/>
      </w:tabs>
    </w:pPr>
  </w:style>
  <w:style w:type="character" w:customStyle="1" w:styleId="PieddepageCar">
    <w:name w:val="Pied de page Car"/>
    <w:basedOn w:val="Policepardfaut"/>
    <w:link w:val="Pieddepage"/>
    <w:uiPriority w:val="99"/>
    <w:rsid w:val="009F7497"/>
    <w:rPr>
      <w:rFonts w:ascii="Arial" w:hAnsi="Arial" w:cs="Arial"/>
      <w:lang w:val="en-US"/>
    </w:rPr>
  </w:style>
  <w:style w:type="paragraph" w:customStyle="1" w:styleId="Sous-titre2">
    <w:name w:val="Sous-titre 2"/>
    <w:basedOn w:val="Normal"/>
    <w:next w:val="Corpsdetexte"/>
    <w:link w:val="Sous-titre2Car"/>
    <w:qFormat/>
    <w:rsid w:val="009F7497"/>
    <w:pPr>
      <w:jc w:val="center"/>
    </w:pPr>
    <w:rPr>
      <w:sz w:val="16"/>
      <w:szCs w:val="16"/>
      <w:lang w:val="fr-FR"/>
    </w:rPr>
  </w:style>
  <w:style w:type="character" w:customStyle="1" w:styleId="Sous-titre2Car">
    <w:name w:val="Sous-titre 2 Car"/>
    <w:basedOn w:val="Policepardfaut"/>
    <w:link w:val="Sous-titre2"/>
    <w:rsid w:val="009F7497"/>
    <w:rPr>
      <w:rFonts w:ascii="Arial" w:hAnsi="Arial" w:cs="Arial"/>
      <w:sz w:val="16"/>
      <w:szCs w:val="16"/>
    </w:rPr>
  </w:style>
  <w:style w:type="table" w:styleId="Grilledutableau">
    <w:name w:val="Table Grid"/>
    <w:basedOn w:val="TableauNormal"/>
    <w:uiPriority w:val="39"/>
    <w:rsid w:val="009F7497"/>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7497"/>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3319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BENOIT</dc:creator>
  <cp:keywords/>
  <dc:description/>
  <cp:lastModifiedBy>Benjamin fanjaud</cp:lastModifiedBy>
  <cp:revision>2</cp:revision>
  <dcterms:created xsi:type="dcterms:W3CDTF">2022-10-03T18:47:00Z</dcterms:created>
  <dcterms:modified xsi:type="dcterms:W3CDTF">2022-10-03T18:47:00Z</dcterms:modified>
</cp:coreProperties>
</file>