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6AA6407" w14:textId="77777777" w:rsidR="005B6565" w:rsidRPr="005B6565" w:rsidRDefault="00A4285A" w:rsidP="00E75779">
      <w:pPr>
        <w:pStyle w:val="Titre"/>
        <w:pBdr>
          <w:top w:val="single" w:sz="4" w:space="1" w:color="auto"/>
          <w:left w:val="single" w:sz="4" w:space="4" w:color="auto"/>
          <w:bottom w:val="single" w:sz="4" w:space="4" w:color="auto"/>
          <w:right w:val="single" w:sz="4" w:space="4" w:color="auto"/>
        </w:pBdr>
        <w:jc w:val="center"/>
        <w:rPr>
          <w:b/>
        </w:rPr>
      </w:pPr>
      <w:r>
        <w:rPr>
          <w:b/>
        </w:rPr>
        <w:t>PROBABILITÉS</w:t>
      </w:r>
    </w:p>
    <w:p w14:paraId="51CC0316" w14:textId="77777777" w:rsidR="00656046" w:rsidRPr="005B6565" w:rsidRDefault="00887DFE" w:rsidP="00E75779">
      <w:pPr>
        <w:pStyle w:val="Titre"/>
        <w:pBdr>
          <w:top w:val="single" w:sz="4" w:space="1" w:color="auto"/>
          <w:left w:val="single" w:sz="4" w:space="4" w:color="auto"/>
          <w:bottom w:val="single" w:sz="4" w:space="4" w:color="auto"/>
          <w:right w:val="single" w:sz="4" w:space="4" w:color="auto"/>
        </w:pBdr>
        <w:jc w:val="center"/>
        <w:rPr>
          <w:b/>
        </w:rPr>
      </w:pPr>
      <w:r>
        <w:rPr>
          <w:b/>
        </w:rPr>
        <w:t xml:space="preserve">Niveau </w:t>
      </w:r>
      <w:r w:rsidR="00A4285A">
        <w:rPr>
          <w:b/>
        </w:rPr>
        <w:t>Terminales (tous groupements)</w:t>
      </w:r>
    </w:p>
    <w:p w14:paraId="6C1D18C7" w14:textId="77777777" w:rsidR="00297451" w:rsidRDefault="00297451" w:rsidP="00297451">
      <w:pPr>
        <w:pStyle w:val="Paragraphedeliste"/>
        <w:ind w:left="0"/>
        <w:jc w:val="both"/>
      </w:pPr>
    </w:p>
    <w:p w14:paraId="334C69D4" w14:textId="77777777" w:rsidR="00297451" w:rsidRDefault="00297451" w:rsidP="00297451">
      <w:pPr>
        <w:pStyle w:val="Paragraphedeliste"/>
        <w:ind w:left="0"/>
        <w:jc w:val="both"/>
      </w:pPr>
    </w:p>
    <w:p w14:paraId="1584B446" w14:textId="77777777" w:rsidR="00297451" w:rsidRDefault="00297451" w:rsidP="00297451">
      <w:pPr>
        <w:jc w:val="both"/>
        <w:rPr>
          <w:b/>
          <w:sz w:val="36"/>
          <w:szCs w:val="36"/>
        </w:rPr>
      </w:pPr>
      <w:r w:rsidRPr="005830D6">
        <w:rPr>
          <w:b/>
          <w:sz w:val="36"/>
          <w:szCs w:val="36"/>
          <w:u w:val="single"/>
        </w:rPr>
        <w:t>Problématique</w:t>
      </w:r>
      <w:r w:rsidRPr="005830D6">
        <w:rPr>
          <w:b/>
          <w:sz w:val="36"/>
          <w:szCs w:val="36"/>
        </w:rPr>
        <w:t xml:space="preserve"> : </w:t>
      </w:r>
    </w:p>
    <w:p w14:paraId="154C2CB3" w14:textId="77777777" w:rsidR="0045554C" w:rsidRDefault="0045554C" w:rsidP="0045554C">
      <w:pPr>
        <w:rPr>
          <w:sz w:val="24"/>
        </w:rPr>
      </w:pPr>
    </w:p>
    <w:p w14:paraId="265B7B3D" w14:textId="77777777" w:rsidR="0045554C" w:rsidRDefault="0045554C" w:rsidP="0045554C">
      <w:pPr>
        <w:rPr>
          <w:sz w:val="24"/>
        </w:rPr>
      </w:pPr>
    </w:p>
    <w:p w14:paraId="30804940" w14:textId="77777777" w:rsidR="0045554C" w:rsidRPr="006E0795" w:rsidRDefault="0045554C" w:rsidP="0045554C">
      <w:pPr>
        <w:rPr>
          <w:sz w:val="24"/>
        </w:rPr>
      </w:pPr>
      <w:r w:rsidRPr="006E0795">
        <w:rPr>
          <w:sz w:val="24"/>
        </w:rPr>
        <w:t>Une entreprise de BTP, très soucieuse de la santé de ses ouvriers, décide  de publier quelques chiffres, pour cette année 2013.</w:t>
      </w:r>
    </w:p>
    <w:tbl>
      <w:tblPr>
        <w:tblStyle w:val="Grille"/>
        <w:tblW w:w="10833" w:type="dxa"/>
        <w:tblInd w:w="108" w:type="dxa"/>
        <w:tblLook w:val="04A0" w:firstRow="1" w:lastRow="0" w:firstColumn="1" w:lastColumn="0" w:noHBand="0" w:noVBand="1"/>
      </w:tblPr>
      <w:tblGrid>
        <w:gridCol w:w="3402"/>
        <w:gridCol w:w="1377"/>
        <w:gridCol w:w="1175"/>
        <w:gridCol w:w="1626"/>
        <w:gridCol w:w="1626"/>
        <w:gridCol w:w="1627"/>
      </w:tblGrid>
      <w:tr w:rsidR="0045554C" w:rsidRPr="000620E6" w14:paraId="36F5E049" w14:textId="77777777" w:rsidTr="0045554C">
        <w:trPr>
          <w:trHeight w:val="340"/>
        </w:trPr>
        <w:tc>
          <w:tcPr>
            <w:tcW w:w="3402" w:type="dxa"/>
            <w:tcBorders>
              <w:top w:val="nil"/>
              <w:left w:val="nil"/>
              <w:bottom w:val="single" w:sz="4" w:space="0" w:color="auto"/>
              <w:right w:val="single" w:sz="4" w:space="0" w:color="auto"/>
            </w:tcBorders>
            <w:vAlign w:val="center"/>
          </w:tcPr>
          <w:p w14:paraId="4486E66E" w14:textId="77777777" w:rsidR="0045554C" w:rsidRPr="000620E6" w:rsidRDefault="0045554C" w:rsidP="0045554C">
            <w:pPr>
              <w:rPr>
                <w:b/>
              </w:rPr>
            </w:pPr>
          </w:p>
        </w:tc>
        <w:tc>
          <w:tcPr>
            <w:tcW w:w="1377" w:type="dxa"/>
            <w:tcBorders>
              <w:left w:val="single" w:sz="4" w:space="0" w:color="auto"/>
            </w:tcBorders>
            <w:vAlign w:val="center"/>
          </w:tcPr>
          <w:p w14:paraId="0642DD0F" w14:textId="77777777" w:rsidR="0045554C" w:rsidRPr="000620E6" w:rsidRDefault="0045554C" w:rsidP="0045554C">
            <w:pPr>
              <w:jc w:val="center"/>
              <w:rPr>
                <w:b/>
              </w:rPr>
            </w:pPr>
            <w:r w:rsidRPr="000620E6">
              <w:rPr>
                <w:b/>
              </w:rPr>
              <w:t>TMS du  poignet</w:t>
            </w:r>
          </w:p>
        </w:tc>
        <w:tc>
          <w:tcPr>
            <w:tcW w:w="1175" w:type="dxa"/>
            <w:vAlign w:val="center"/>
          </w:tcPr>
          <w:p w14:paraId="4E274CC9" w14:textId="77777777" w:rsidR="0045554C" w:rsidRPr="000620E6" w:rsidRDefault="0045554C" w:rsidP="0045554C">
            <w:pPr>
              <w:jc w:val="center"/>
              <w:rPr>
                <w:b/>
              </w:rPr>
            </w:pPr>
            <w:r w:rsidRPr="000620E6">
              <w:rPr>
                <w:b/>
              </w:rPr>
              <w:t>Pas de TMS du poignet</w:t>
            </w:r>
          </w:p>
        </w:tc>
        <w:tc>
          <w:tcPr>
            <w:tcW w:w="1626" w:type="dxa"/>
            <w:vAlign w:val="center"/>
          </w:tcPr>
          <w:p w14:paraId="54B987AC" w14:textId="77777777" w:rsidR="0045554C" w:rsidRPr="000620E6" w:rsidRDefault="0045554C" w:rsidP="0045554C">
            <w:pPr>
              <w:jc w:val="center"/>
              <w:rPr>
                <w:b/>
              </w:rPr>
            </w:pPr>
            <w:r w:rsidRPr="000620E6">
              <w:rPr>
                <w:b/>
              </w:rPr>
              <w:t>TMS de l'épaule</w:t>
            </w:r>
          </w:p>
        </w:tc>
        <w:tc>
          <w:tcPr>
            <w:tcW w:w="1626" w:type="dxa"/>
            <w:vAlign w:val="center"/>
          </w:tcPr>
          <w:p w14:paraId="6C96A45A" w14:textId="77777777" w:rsidR="0045554C" w:rsidRPr="000620E6" w:rsidRDefault="0045554C" w:rsidP="0045554C">
            <w:pPr>
              <w:jc w:val="center"/>
              <w:rPr>
                <w:b/>
              </w:rPr>
            </w:pPr>
            <w:r w:rsidRPr="000620E6">
              <w:rPr>
                <w:b/>
              </w:rPr>
              <w:t>Pas de TMS de l'épaule</w:t>
            </w:r>
          </w:p>
        </w:tc>
        <w:tc>
          <w:tcPr>
            <w:tcW w:w="1627" w:type="dxa"/>
            <w:vAlign w:val="center"/>
          </w:tcPr>
          <w:p w14:paraId="6A2C0CD9" w14:textId="77777777" w:rsidR="0045554C" w:rsidRPr="000620E6" w:rsidRDefault="0045554C" w:rsidP="0045554C">
            <w:pPr>
              <w:rPr>
                <w:b/>
              </w:rPr>
            </w:pPr>
            <w:r w:rsidRPr="000620E6">
              <w:rPr>
                <w:b/>
              </w:rPr>
              <w:t>TMS du poignet et de l'épaule</w:t>
            </w:r>
          </w:p>
        </w:tc>
      </w:tr>
      <w:tr w:rsidR="0045554C" w:rsidRPr="000620E6" w14:paraId="540CE91B" w14:textId="77777777" w:rsidTr="0045554C">
        <w:trPr>
          <w:trHeight w:val="409"/>
        </w:trPr>
        <w:tc>
          <w:tcPr>
            <w:tcW w:w="3402" w:type="dxa"/>
            <w:tcBorders>
              <w:top w:val="single" w:sz="4" w:space="0" w:color="auto"/>
            </w:tcBorders>
            <w:vAlign w:val="center"/>
          </w:tcPr>
          <w:p w14:paraId="11AA293D" w14:textId="77777777" w:rsidR="0045554C" w:rsidRPr="000620E6" w:rsidRDefault="0045554C" w:rsidP="0045554C">
            <w:pPr>
              <w:rPr>
                <w:b/>
              </w:rPr>
            </w:pPr>
            <w:r w:rsidRPr="000620E6">
              <w:rPr>
                <w:b/>
              </w:rPr>
              <w:t>19-24 ans</w:t>
            </w:r>
          </w:p>
          <w:p w14:paraId="47FCBF09" w14:textId="77777777" w:rsidR="0045554C" w:rsidRPr="00C77994" w:rsidRDefault="0045554C" w:rsidP="0045554C">
            <w:r w:rsidRPr="00C77994">
              <w:t>(effectif moins de 24 ans = 209)</w:t>
            </w:r>
          </w:p>
        </w:tc>
        <w:tc>
          <w:tcPr>
            <w:tcW w:w="1377" w:type="dxa"/>
            <w:vAlign w:val="center"/>
          </w:tcPr>
          <w:p w14:paraId="463986C0" w14:textId="77777777" w:rsidR="0045554C" w:rsidRPr="000620E6" w:rsidRDefault="0045554C" w:rsidP="0045554C">
            <w:pPr>
              <w:jc w:val="center"/>
              <w:rPr>
                <w:b/>
                <w:highlight w:val="yellow"/>
              </w:rPr>
            </w:pPr>
            <w:r w:rsidRPr="000620E6">
              <w:rPr>
                <w:b/>
              </w:rPr>
              <w:t>86</w:t>
            </w:r>
          </w:p>
        </w:tc>
        <w:tc>
          <w:tcPr>
            <w:tcW w:w="1175" w:type="dxa"/>
            <w:vAlign w:val="center"/>
          </w:tcPr>
          <w:p w14:paraId="27F33C5B" w14:textId="77777777" w:rsidR="0045554C" w:rsidRPr="000620E6" w:rsidRDefault="0045554C" w:rsidP="0045554C">
            <w:pPr>
              <w:jc w:val="center"/>
              <w:rPr>
                <w:b/>
              </w:rPr>
            </w:pPr>
            <w:r w:rsidRPr="000620E6">
              <w:rPr>
                <w:b/>
              </w:rPr>
              <w:t>123</w:t>
            </w:r>
          </w:p>
        </w:tc>
        <w:tc>
          <w:tcPr>
            <w:tcW w:w="1626" w:type="dxa"/>
            <w:vAlign w:val="center"/>
          </w:tcPr>
          <w:p w14:paraId="395F4946" w14:textId="77777777" w:rsidR="0045554C" w:rsidRPr="000620E6" w:rsidRDefault="0045554C" w:rsidP="0045554C">
            <w:pPr>
              <w:jc w:val="center"/>
              <w:rPr>
                <w:b/>
              </w:rPr>
            </w:pPr>
            <w:r w:rsidRPr="000620E6">
              <w:rPr>
                <w:b/>
              </w:rPr>
              <w:t>77</w:t>
            </w:r>
          </w:p>
        </w:tc>
        <w:tc>
          <w:tcPr>
            <w:tcW w:w="1626" w:type="dxa"/>
            <w:vAlign w:val="center"/>
          </w:tcPr>
          <w:p w14:paraId="178AD095" w14:textId="77777777" w:rsidR="0045554C" w:rsidRPr="000620E6" w:rsidRDefault="0045554C" w:rsidP="0045554C">
            <w:pPr>
              <w:jc w:val="center"/>
              <w:rPr>
                <w:b/>
              </w:rPr>
            </w:pPr>
            <w:r w:rsidRPr="000620E6">
              <w:rPr>
                <w:b/>
              </w:rPr>
              <w:t>132</w:t>
            </w:r>
          </w:p>
        </w:tc>
        <w:tc>
          <w:tcPr>
            <w:tcW w:w="1627" w:type="dxa"/>
            <w:vAlign w:val="center"/>
          </w:tcPr>
          <w:p w14:paraId="4370A8EA" w14:textId="77777777" w:rsidR="0045554C" w:rsidRPr="000620E6" w:rsidRDefault="0045554C" w:rsidP="0045554C">
            <w:pPr>
              <w:jc w:val="center"/>
              <w:rPr>
                <w:b/>
              </w:rPr>
            </w:pPr>
            <w:r w:rsidRPr="000620E6">
              <w:rPr>
                <w:b/>
              </w:rPr>
              <w:t>56</w:t>
            </w:r>
          </w:p>
        </w:tc>
      </w:tr>
      <w:tr w:rsidR="0045554C" w:rsidRPr="000620E6" w14:paraId="4D7B4034" w14:textId="77777777" w:rsidTr="0045554C">
        <w:trPr>
          <w:trHeight w:val="409"/>
        </w:trPr>
        <w:tc>
          <w:tcPr>
            <w:tcW w:w="3402" w:type="dxa"/>
            <w:vAlign w:val="center"/>
          </w:tcPr>
          <w:p w14:paraId="0E579152" w14:textId="77777777" w:rsidR="0045554C" w:rsidRPr="000620E6" w:rsidRDefault="0045554C" w:rsidP="0045554C">
            <w:pPr>
              <w:rPr>
                <w:b/>
              </w:rPr>
            </w:pPr>
            <w:r w:rsidRPr="000620E6">
              <w:rPr>
                <w:b/>
              </w:rPr>
              <w:t>25 ans et plus</w:t>
            </w:r>
          </w:p>
        </w:tc>
        <w:tc>
          <w:tcPr>
            <w:tcW w:w="1377" w:type="dxa"/>
            <w:vAlign w:val="center"/>
          </w:tcPr>
          <w:p w14:paraId="506EA877" w14:textId="77777777" w:rsidR="0045554C" w:rsidRPr="000620E6" w:rsidRDefault="0045554C" w:rsidP="0045554C">
            <w:pPr>
              <w:jc w:val="center"/>
              <w:rPr>
                <w:b/>
              </w:rPr>
            </w:pPr>
            <w:r w:rsidRPr="000620E6">
              <w:rPr>
                <w:b/>
              </w:rPr>
              <w:t>432</w:t>
            </w:r>
          </w:p>
        </w:tc>
        <w:tc>
          <w:tcPr>
            <w:tcW w:w="1175" w:type="dxa"/>
            <w:vAlign w:val="center"/>
          </w:tcPr>
          <w:p w14:paraId="4041C77B" w14:textId="77777777" w:rsidR="0045554C" w:rsidRPr="000620E6" w:rsidRDefault="0045554C" w:rsidP="0045554C">
            <w:pPr>
              <w:jc w:val="center"/>
              <w:rPr>
                <w:b/>
              </w:rPr>
            </w:pPr>
            <w:r w:rsidRPr="000620E6">
              <w:rPr>
                <w:b/>
              </w:rPr>
              <w:t>877</w:t>
            </w:r>
          </w:p>
        </w:tc>
        <w:tc>
          <w:tcPr>
            <w:tcW w:w="1626" w:type="dxa"/>
            <w:vAlign w:val="center"/>
          </w:tcPr>
          <w:p w14:paraId="368E82E4" w14:textId="77777777" w:rsidR="0045554C" w:rsidRPr="000620E6" w:rsidRDefault="0045554C" w:rsidP="0045554C">
            <w:pPr>
              <w:jc w:val="center"/>
              <w:rPr>
                <w:b/>
              </w:rPr>
            </w:pPr>
            <w:r w:rsidRPr="000620E6">
              <w:rPr>
                <w:b/>
              </w:rPr>
              <w:t>575</w:t>
            </w:r>
          </w:p>
        </w:tc>
        <w:tc>
          <w:tcPr>
            <w:tcW w:w="1626" w:type="dxa"/>
            <w:vAlign w:val="center"/>
          </w:tcPr>
          <w:p w14:paraId="14402A11" w14:textId="77777777" w:rsidR="0045554C" w:rsidRPr="000620E6" w:rsidRDefault="0045554C" w:rsidP="0045554C">
            <w:pPr>
              <w:jc w:val="center"/>
              <w:rPr>
                <w:b/>
              </w:rPr>
            </w:pPr>
            <w:r w:rsidRPr="000620E6">
              <w:rPr>
                <w:b/>
              </w:rPr>
              <w:t>734</w:t>
            </w:r>
          </w:p>
        </w:tc>
        <w:tc>
          <w:tcPr>
            <w:tcW w:w="1627" w:type="dxa"/>
            <w:vAlign w:val="center"/>
          </w:tcPr>
          <w:p w14:paraId="7C9A7B5B" w14:textId="77777777" w:rsidR="0045554C" w:rsidRPr="000620E6" w:rsidRDefault="0045554C" w:rsidP="0045554C">
            <w:pPr>
              <w:jc w:val="center"/>
              <w:rPr>
                <w:b/>
              </w:rPr>
            </w:pPr>
            <w:r w:rsidRPr="000620E6">
              <w:rPr>
                <w:b/>
              </w:rPr>
              <w:t>125</w:t>
            </w:r>
          </w:p>
        </w:tc>
      </w:tr>
      <w:tr w:rsidR="0045554C" w:rsidRPr="000620E6" w14:paraId="7A770351" w14:textId="77777777" w:rsidTr="0045554C">
        <w:trPr>
          <w:trHeight w:val="409"/>
        </w:trPr>
        <w:tc>
          <w:tcPr>
            <w:tcW w:w="3402" w:type="dxa"/>
            <w:vAlign w:val="center"/>
          </w:tcPr>
          <w:p w14:paraId="0C5AE555" w14:textId="77777777" w:rsidR="0045554C" w:rsidRPr="000620E6" w:rsidRDefault="0045554C" w:rsidP="0045554C">
            <w:pPr>
              <w:rPr>
                <w:b/>
              </w:rPr>
            </w:pPr>
            <w:r w:rsidRPr="000620E6">
              <w:rPr>
                <w:b/>
              </w:rPr>
              <w:t>Effectif TOTAL</w:t>
            </w:r>
          </w:p>
        </w:tc>
        <w:tc>
          <w:tcPr>
            <w:tcW w:w="2552" w:type="dxa"/>
            <w:gridSpan w:val="2"/>
            <w:vAlign w:val="center"/>
          </w:tcPr>
          <w:p w14:paraId="161CAA93" w14:textId="77777777" w:rsidR="0045554C" w:rsidRPr="000620E6" w:rsidRDefault="0045554C" w:rsidP="0045554C">
            <w:pPr>
              <w:jc w:val="center"/>
              <w:rPr>
                <w:b/>
              </w:rPr>
            </w:pPr>
            <w:r w:rsidRPr="000620E6">
              <w:rPr>
                <w:b/>
              </w:rPr>
              <w:t>1518</w:t>
            </w:r>
          </w:p>
        </w:tc>
        <w:tc>
          <w:tcPr>
            <w:tcW w:w="3252" w:type="dxa"/>
            <w:gridSpan w:val="2"/>
            <w:vAlign w:val="center"/>
          </w:tcPr>
          <w:p w14:paraId="64C881D2" w14:textId="77777777" w:rsidR="0045554C" w:rsidRPr="000620E6" w:rsidRDefault="0045554C" w:rsidP="0045554C">
            <w:pPr>
              <w:jc w:val="center"/>
              <w:rPr>
                <w:b/>
              </w:rPr>
            </w:pPr>
            <w:r w:rsidRPr="000620E6">
              <w:rPr>
                <w:b/>
              </w:rPr>
              <w:t>1518</w:t>
            </w:r>
          </w:p>
        </w:tc>
        <w:tc>
          <w:tcPr>
            <w:tcW w:w="1627" w:type="dxa"/>
            <w:vAlign w:val="center"/>
          </w:tcPr>
          <w:p w14:paraId="7B294CDF" w14:textId="77777777" w:rsidR="0045554C" w:rsidRPr="000620E6" w:rsidRDefault="0045554C" w:rsidP="0045554C">
            <w:pPr>
              <w:jc w:val="center"/>
              <w:rPr>
                <w:b/>
              </w:rPr>
            </w:pPr>
            <w:r w:rsidRPr="000620E6">
              <w:rPr>
                <w:b/>
              </w:rPr>
              <w:t>1518</w:t>
            </w:r>
          </w:p>
        </w:tc>
      </w:tr>
    </w:tbl>
    <w:p w14:paraId="42C72174" w14:textId="77777777" w:rsidR="0045554C" w:rsidRDefault="0045554C" w:rsidP="0045554C">
      <w:pPr>
        <w:rPr>
          <w:sz w:val="24"/>
        </w:rPr>
      </w:pPr>
    </w:p>
    <w:p w14:paraId="6C5B2FB0" w14:textId="77777777" w:rsidR="0045554C" w:rsidRDefault="0045554C" w:rsidP="0045554C">
      <w:pPr>
        <w:rPr>
          <w:sz w:val="24"/>
        </w:rPr>
      </w:pPr>
      <w:r w:rsidRPr="006E0795">
        <w:rPr>
          <w:sz w:val="24"/>
        </w:rPr>
        <w:t>Ahmed a 22 ans, il est employé dans cette entreprise.</w:t>
      </w:r>
    </w:p>
    <w:p w14:paraId="014156E5" w14:textId="519A8DF4" w:rsidR="0045554C" w:rsidRDefault="0045554C" w:rsidP="0045554C">
      <w:pPr>
        <w:rPr>
          <w:b/>
          <w:sz w:val="40"/>
        </w:rPr>
      </w:pPr>
      <w:r>
        <w:rPr>
          <w:b/>
          <w:sz w:val="24"/>
        </w:rPr>
        <w:t>Problématique :</w:t>
      </w:r>
      <w:r>
        <w:rPr>
          <w:b/>
          <w:sz w:val="24"/>
        </w:rPr>
        <w:tab/>
      </w:r>
      <w:r>
        <w:rPr>
          <w:b/>
          <w:sz w:val="24"/>
        </w:rPr>
        <w:tab/>
      </w:r>
      <w:r w:rsidRPr="003F3F5A">
        <w:rPr>
          <w:b/>
          <w:sz w:val="40"/>
        </w:rPr>
        <w:t>Doit- il être inquiet pour sa santé ?</w:t>
      </w:r>
    </w:p>
    <w:p w14:paraId="79EFB317" w14:textId="6AB0FCE4" w:rsidR="00297451" w:rsidRDefault="00297451" w:rsidP="00297451">
      <w:pPr>
        <w:pStyle w:val="Paragraphedeliste"/>
        <w:ind w:left="0"/>
        <w:jc w:val="both"/>
      </w:pPr>
    </w:p>
    <w:p w14:paraId="7BB67249" w14:textId="46C22F0B" w:rsidR="00297451" w:rsidRDefault="00262E86" w:rsidP="00297451">
      <w:pPr>
        <w:pStyle w:val="Paragraphedeliste"/>
        <w:ind w:left="0"/>
        <w:jc w:val="both"/>
      </w:pPr>
      <w:r>
        <w:rPr>
          <w:noProof/>
          <w:lang w:eastAsia="fr-FR"/>
        </w:rPr>
        <w:pict w14:anchorId="74F2EC05">
          <v:shapetype id="_x0000_t202" coordsize="21600,21600" o:spt="202" path="m0,0l0,21600,21600,21600,21600,0xe">
            <v:stroke joinstyle="miter"/>
            <v:path gradientshapeok="t" o:connecttype="rect"/>
          </v:shapetype>
          <v:shape id="Text Box 6" o:spid="_x0000_s1026" type="#_x0000_t202" style="position:absolute;left:0;text-align:left;margin-left:27.5pt;margin-top:11.85pt;width:467.5pt;height:238.9pt;z-index:251659264;visibility:visible;mso-wrap-edited:f;mso-wrap-distance-left:9pt;mso-wrap-distance-top:0;mso-wrap-distance-right:9pt;mso-wrap-distance-bottom:0;mso-position-horizontal-relative:text;mso-position-vertical-relative:text;mso-width-relative:page;mso-height-relative:page;v-text-anchor:top"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" filled="f" stroked="f">
            <v:textbox inset=",7.2pt,,7.2pt">
              <w:txbxContent>
                <w:p w14:paraId="5C8EDFCC" w14:textId="2293A5CB" w:rsidR="0067064E" w:rsidRDefault="0067064E" w:rsidP="0045554C">
                  <w:r>
                    <w:rPr>
                      <w:noProof/>
                      <w:lang w:eastAsia="fr-FR"/>
                    </w:rPr>
                    <w:drawing>
                      <wp:inline distT="0" distB="0" distL="0" distR="0" wp14:anchorId="534C6A2E" wp14:editId="3592535C">
                        <wp:extent cx="1285240" cy="187452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3-02-14 à 14.41.50.png"/>
                                <pic:cNvPicPr/>
                              </pic:nvPicPr>
                              <pic:blipFill>
                                <a:blip r:embed="rId6">
                                  <a:extLst>
                                    <a:ext uri="{28A0092B-C50C-407E-A947-70E740481C1C}">
                                      <a14:useLocalDpi xmlns:a14="http://schemas.microsoft.com/office/drawing/2010/main" val="0"/>
                                    </a:ext>
                                  </a:extLst>
                                </a:blip>
                                <a:stretch>
                                  <a:fillRect/>
                                </a:stretch>
                              </pic:blipFill>
                              <pic:spPr>
                                <a:xfrm>
                                  <a:off x="0" y="0"/>
                                  <a:ext cx="1285240" cy="1874520"/>
                                </a:xfrm>
                                <a:prstGeom prst="rect">
                                  <a:avLst/>
                                </a:prstGeom>
                              </pic:spPr>
                            </pic:pic>
                          </a:graphicData>
                        </a:graphic>
                      </wp:inline>
                    </w:drawing>
                  </w:r>
                  <w:r>
                    <w:t xml:space="preserve">                                                                      </w:t>
                  </w:r>
                  <w:r>
                    <w:rPr>
                      <w:noProof/>
                      <w:lang w:eastAsia="fr-FR"/>
                    </w:rPr>
                    <w:drawing>
                      <wp:inline distT="0" distB="0" distL="0" distR="0" wp14:anchorId="736E14CE" wp14:editId="6121054A">
                        <wp:extent cx="1431925" cy="187452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3-02-14 à 14.42.53.png"/>
                                <pic:cNvPicPr/>
                              </pic:nvPicPr>
                              <pic:blipFill>
                                <a:blip r:embed="rId7">
                                  <a:extLst>
                                    <a:ext uri="{28A0092B-C50C-407E-A947-70E740481C1C}">
                                      <a14:useLocalDpi xmlns:a14="http://schemas.microsoft.com/office/drawing/2010/main" val="0"/>
                                    </a:ext>
                                  </a:extLst>
                                </a:blip>
                                <a:stretch>
                                  <a:fillRect/>
                                </a:stretch>
                              </pic:blipFill>
                              <pic:spPr>
                                <a:xfrm>
                                  <a:off x="0" y="0"/>
                                  <a:ext cx="1431925" cy="1874520"/>
                                </a:xfrm>
                                <a:prstGeom prst="rect">
                                  <a:avLst/>
                                </a:prstGeom>
                              </pic:spPr>
                            </pic:pic>
                          </a:graphicData>
                        </a:graphic>
                      </wp:inline>
                    </w:drawing>
                  </w:r>
                </w:p>
                <w:p w14:paraId="702C734B" w14:textId="77777777" w:rsidR="0067064E" w:rsidRDefault="0067064E" w:rsidP="0045554C"/>
                <w:p w14:paraId="744FEA72" w14:textId="6CE1E942" w:rsidR="0067064E" w:rsidRDefault="0067064E" w:rsidP="0045554C"/>
              </w:txbxContent>
            </v:textbox>
            <w10:wrap type="tight"/>
          </v:shape>
        </w:pict>
      </w:r>
    </w:p>
    <w:p w14:paraId="214B6151" w14:textId="571B20B2" w:rsidR="00297451" w:rsidRDefault="00297451" w:rsidP="00297451">
      <w:pPr>
        <w:pStyle w:val="Paragraphedeliste"/>
        <w:ind w:left="0"/>
        <w:jc w:val="both"/>
      </w:pPr>
    </w:p>
    <w:p w14:paraId="63E13192" w14:textId="139450BA" w:rsidR="00297451" w:rsidRDefault="00297451" w:rsidP="00297451">
      <w:pPr>
        <w:pStyle w:val="Paragraphedeliste"/>
        <w:ind w:left="0"/>
        <w:jc w:val="both"/>
      </w:pPr>
    </w:p>
    <w:p w14:paraId="5137A360" w14:textId="13BAA90F" w:rsidR="00297451" w:rsidRDefault="00297451" w:rsidP="00297451">
      <w:pPr>
        <w:pStyle w:val="Paragraphedeliste"/>
        <w:ind w:left="0"/>
        <w:jc w:val="both"/>
      </w:pPr>
    </w:p>
    <w:p w14:paraId="5E8384F2" w14:textId="39527910" w:rsidR="00297451" w:rsidRDefault="00297451" w:rsidP="00297451">
      <w:pPr>
        <w:pStyle w:val="Paragraphedeliste"/>
        <w:ind w:left="0"/>
        <w:jc w:val="both"/>
      </w:pPr>
    </w:p>
    <w:p w14:paraId="76902768" w14:textId="37A52E14" w:rsidR="00312587" w:rsidRDefault="00312587">
      <w:r>
        <w:br w:type="page"/>
      </w:r>
    </w:p>
    <w:p w14:paraId="1344A56A" w14:textId="77777777" w:rsidR="00297451" w:rsidRPr="00CE505B" w:rsidRDefault="00297451" w:rsidP="00297451">
      <w:pPr>
        <w:pStyle w:val="Titre"/>
        <w:jc w:val="both"/>
      </w:pPr>
      <w:r w:rsidRPr="00CE505B">
        <w:lastRenderedPageBreak/>
        <w:t>Caractéristiques de la séance</w:t>
      </w:r>
    </w:p>
    <w:p w14:paraId="4B8A84E3" w14:textId="77777777" w:rsidR="00297451" w:rsidRPr="00CE505B" w:rsidRDefault="00AF08C7" w:rsidP="00CE505B">
      <w:pPr>
        <w:pStyle w:val="Titre1"/>
        <w:jc w:val="both"/>
      </w:pPr>
      <w:r>
        <w:t>Public concerné</w:t>
      </w:r>
      <w:r w:rsidR="00297451" w:rsidRPr="00AC70A6">
        <w:t xml:space="preserve"> :</w:t>
      </w:r>
      <w:r w:rsidR="00CE505B">
        <w:t xml:space="preserve"> </w:t>
      </w:r>
      <w:r w:rsidR="00297451" w:rsidRPr="00CE505B">
        <w:t>Elèves de</w:t>
      </w:r>
      <w:r w:rsidR="00312587" w:rsidRPr="00CE505B">
        <w:t xml:space="preserve"> </w:t>
      </w:r>
      <w:r w:rsidR="00A4285A">
        <w:t>terminale</w:t>
      </w:r>
      <w:r w:rsidR="00297451" w:rsidRPr="00CE505B">
        <w:t xml:space="preserve"> baccalauréat professionnel. </w:t>
      </w:r>
    </w:p>
    <w:p w14:paraId="1C18C6D8" w14:textId="77777777" w:rsidR="00297451" w:rsidRPr="00CA6ADA" w:rsidRDefault="00297451" w:rsidP="00886D1C">
      <w:pPr>
        <w:pStyle w:val="Titre1"/>
        <w:jc w:val="both"/>
      </w:pPr>
      <w:r w:rsidRPr="00AC70A6">
        <w:t>Conditions matérielles :</w:t>
      </w:r>
      <w:r w:rsidR="00886D1C">
        <w:t xml:space="preserve"> </w:t>
      </w:r>
    </w:p>
    <w:p w14:paraId="7D90FFCB" w14:textId="77777777" w:rsidR="00297451" w:rsidRDefault="00297451" w:rsidP="00297451">
      <w:pPr>
        <w:pStyle w:val="Paragraphedeliste"/>
        <w:numPr>
          <w:ilvl w:val="0"/>
          <w:numId w:val="11"/>
        </w:numPr>
        <w:jc w:val="both"/>
      </w:pPr>
      <w:r>
        <w:t xml:space="preserve">Une </w:t>
      </w:r>
      <w:r w:rsidR="008917EF">
        <w:t>salle informatique munie d’</w:t>
      </w:r>
      <w:r>
        <w:t>un vidéoprojecteur</w:t>
      </w:r>
      <w:r w:rsidR="00BB73BD">
        <w:t xml:space="preserve"> et d’un écran</w:t>
      </w:r>
      <w:r w:rsidR="00CE505B">
        <w:t>.</w:t>
      </w:r>
    </w:p>
    <w:p w14:paraId="3EB1F8D8" w14:textId="173F293A" w:rsidR="00CE505B" w:rsidRDefault="00CE505B" w:rsidP="00297451">
      <w:pPr>
        <w:pStyle w:val="Paragraphedeliste"/>
        <w:numPr>
          <w:ilvl w:val="0"/>
          <w:numId w:val="11"/>
        </w:numPr>
        <w:jc w:val="both"/>
      </w:pPr>
      <w:r>
        <w:t xml:space="preserve">Le logiciel </w:t>
      </w:r>
      <w:r w:rsidR="00CE7B18">
        <w:t>de type Tableur Grapheur</w:t>
      </w:r>
    </w:p>
    <w:p w14:paraId="4CA4581A" w14:textId="77777777" w:rsidR="008E3332" w:rsidRDefault="008E3332" w:rsidP="008E3332">
      <w:pPr>
        <w:jc w:val="both"/>
      </w:pPr>
      <w:r>
        <w:t>Dans le dossier de chaque élève:</w:t>
      </w:r>
    </w:p>
    <w:p w14:paraId="57D4AAEC" w14:textId="7A8B034E" w:rsidR="00981524" w:rsidRDefault="00A4285A" w:rsidP="008E3332">
      <w:pPr>
        <w:pStyle w:val="Paragraphedeliste"/>
        <w:numPr>
          <w:ilvl w:val="0"/>
          <w:numId w:val="21"/>
        </w:numPr>
        <w:jc w:val="both"/>
      </w:pPr>
      <w:r>
        <w:t xml:space="preserve"> </w:t>
      </w:r>
      <w:r w:rsidR="006D6112">
        <w:t>Les f</w:t>
      </w:r>
      <w:r w:rsidR="00CE7B18">
        <w:t>iche</w:t>
      </w:r>
      <w:r w:rsidR="006D6112">
        <w:t>s</w:t>
      </w:r>
      <w:r w:rsidR="00CE7B18">
        <w:t xml:space="preserve"> de travail</w:t>
      </w:r>
      <w:r w:rsidR="006D6112">
        <w:t xml:space="preserve"> élèves</w:t>
      </w:r>
      <w:r w:rsidR="00CE7B18">
        <w:t xml:space="preserve"> et le fichier TMS.xls</w:t>
      </w:r>
    </w:p>
    <w:p w14:paraId="14ADF288" w14:textId="77777777" w:rsidR="00297451" w:rsidRDefault="00297451" w:rsidP="00297451">
      <w:pPr>
        <w:pStyle w:val="Titre1"/>
      </w:pPr>
      <w:r>
        <w:t>Références programme :</w:t>
      </w:r>
    </w:p>
    <w:p w14:paraId="703E1A3A" w14:textId="77777777" w:rsidR="008917EF" w:rsidRDefault="00297451" w:rsidP="008917EF">
      <w:pPr>
        <w:pStyle w:val="Paragraphedeliste"/>
        <w:numPr>
          <w:ilvl w:val="0"/>
          <w:numId w:val="12"/>
        </w:numPr>
        <w:jc w:val="both"/>
      </w:pPr>
      <w:r w:rsidRPr="00E92256">
        <w:t>Capacité</w:t>
      </w:r>
      <w:r w:rsidR="008917EF">
        <w:t>s :</w:t>
      </w:r>
    </w:p>
    <w:p w14:paraId="51DCCBE5" w14:textId="77777777" w:rsidR="00CE7B18" w:rsidRPr="00CE7B18" w:rsidRDefault="00CE7B18" w:rsidP="00CE7B18">
      <w:pPr>
        <w:pStyle w:val="Paragraphedeliste"/>
        <w:widowControl w:val="0"/>
        <w:numPr>
          <w:ilvl w:val="0"/>
          <w:numId w:val="28"/>
        </w:numPr>
        <w:autoSpaceDE w:val="0"/>
        <w:autoSpaceDN w:val="0"/>
        <w:adjustRightInd w:val="0"/>
        <w:spacing w:after="240"/>
        <w:rPr>
          <w:rFonts w:ascii="Times" w:hAnsi="Times" w:cs="Times"/>
          <w:sz w:val="24"/>
          <w:szCs w:val="24"/>
        </w:rPr>
      </w:pPr>
      <w:r w:rsidRPr="00CE7B18">
        <w:rPr>
          <w:rFonts w:ascii="Times New Roman" w:hAnsi="Times New Roman" w:cs="Times New Roman"/>
          <w:sz w:val="24"/>
          <w:szCs w:val="24"/>
        </w:rPr>
        <w:t>Passer du langage probabiliste au langage courant et réciproquement.</w:t>
      </w:r>
    </w:p>
    <w:p w14:paraId="468AFF0C" w14:textId="77777777" w:rsidR="00CE7B18" w:rsidRPr="00CE7B18" w:rsidRDefault="00CE7B18" w:rsidP="00CE7B18">
      <w:pPr>
        <w:pStyle w:val="Paragraphedeliste"/>
        <w:widowControl w:val="0"/>
        <w:numPr>
          <w:ilvl w:val="0"/>
          <w:numId w:val="28"/>
        </w:numPr>
        <w:autoSpaceDE w:val="0"/>
        <w:autoSpaceDN w:val="0"/>
        <w:adjustRightInd w:val="0"/>
        <w:spacing w:after="240"/>
        <w:rPr>
          <w:rFonts w:ascii="Times" w:hAnsi="Times" w:cs="Times"/>
          <w:sz w:val="24"/>
          <w:szCs w:val="24"/>
        </w:rPr>
      </w:pPr>
      <w:r w:rsidRPr="00CE7B18">
        <w:rPr>
          <w:rFonts w:ascii="Times New Roman" w:hAnsi="Times New Roman" w:cs="Times New Roman"/>
          <w:sz w:val="24"/>
          <w:szCs w:val="24"/>
        </w:rPr>
        <w:t>Calculer la probabilité d’un événement par addition des probabilités d’événements élémentaires.</w:t>
      </w:r>
    </w:p>
    <w:p w14:paraId="34BFA813" w14:textId="464FEB4E" w:rsidR="00CE7B18" w:rsidRPr="0045554C" w:rsidRDefault="00CE7B18" w:rsidP="0045554C">
      <w:pPr>
        <w:pStyle w:val="Paragraphedeliste"/>
        <w:widowControl w:val="0"/>
        <w:numPr>
          <w:ilvl w:val="0"/>
          <w:numId w:val="28"/>
        </w:numPr>
        <w:autoSpaceDE w:val="0"/>
        <w:autoSpaceDN w:val="0"/>
        <w:adjustRightInd w:val="0"/>
        <w:spacing w:after="240"/>
        <w:rPr>
          <w:rFonts w:ascii="Times" w:hAnsi="Times" w:cs="Times"/>
          <w:sz w:val="24"/>
          <w:szCs w:val="24"/>
        </w:rPr>
      </w:pPr>
      <w:r w:rsidRPr="00CE7B18">
        <w:rPr>
          <w:rFonts w:ascii="Times New Roman" w:hAnsi="Times New Roman" w:cs="Times New Roman"/>
          <w:sz w:val="24"/>
          <w:szCs w:val="24"/>
        </w:rPr>
        <w:t xml:space="preserve">Utiliser la formule reliant la probabilité de </w:t>
      </w:r>
      <w:r w:rsidRPr="00CE7B18">
        <w:rPr>
          <w:rFonts w:ascii="Times" w:hAnsi="Times" w:cs="Times"/>
          <w:i/>
          <w:iCs/>
          <w:sz w:val="24"/>
          <w:szCs w:val="24"/>
        </w:rPr>
        <w:t>A</w:t>
      </w:r>
      <w:r w:rsidRPr="00CE7B18">
        <w:rPr>
          <w:rFonts w:ascii="Monaco" w:hAnsi="Monaco" w:cs="Monaco"/>
          <w:sz w:val="24"/>
          <w:szCs w:val="24"/>
        </w:rPr>
        <w:t>∪</w:t>
      </w:r>
      <w:r w:rsidRPr="00CE7B18">
        <w:rPr>
          <w:rFonts w:ascii="Times" w:hAnsi="Times" w:cs="Times"/>
          <w:i/>
          <w:iCs/>
          <w:sz w:val="24"/>
          <w:szCs w:val="24"/>
        </w:rPr>
        <w:t xml:space="preserve">B </w:t>
      </w:r>
      <w:r w:rsidRPr="00CE7B18">
        <w:rPr>
          <w:rFonts w:ascii="Times New Roman" w:hAnsi="Times New Roman" w:cs="Times New Roman"/>
          <w:sz w:val="24"/>
          <w:szCs w:val="24"/>
        </w:rPr>
        <w:t>et</w:t>
      </w:r>
      <w:r w:rsidR="0045554C">
        <w:rPr>
          <w:rFonts w:ascii="Times New Roman" w:hAnsi="Times New Roman" w:cs="Times New Roman"/>
          <w:sz w:val="24"/>
          <w:szCs w:val="24"/>
        </w:rPr>
        <w:t xml:space="preserve"> </w:t>
      </w:r>
      <w:r w:rsidRPr="00CE7B18">
        <w:rPr>
          <w:rFonts w:ascii="Times New Roman" w:hAnsi="Times New Roman" w:cs="Times New Roman"/>
          <w:sz w:val="24"/>
          <w:szCs w:val="24"/>
        </w:rPr>
        <w:t xml:space="preserve">de </w:t>
      </w:r>
      <w:r w:rsidRPr="00CE7B18">
        <w:rPr>
          <w:rFonts w:ascii="Times" w:hAnsi="Times" w:cs="Times"/>
          <w:i/>
          <w:iCs/>
          <w:sz w:val="24"/>
          <w:szCs w:val="24"/>
        </w:rPr>
        <w:t>A</w:t>
      </w:r>
      <w:r w:rsidRPr="00CE7B18">
        <w:rPr>
          <w:rFonts w:ascii="Times New Roman" w:hAnsi="Times New Roman" w:cs="Times New Roman"/>
          <w:sz w:val="24"/>
          <w:szCs w:val="24"/>
        </w:rPr>
        <w:t>∩</w:t>
      </w:r>
      <w:r w:rsidRPr="00CE7B18">
        <w:rPr>
          <w:rFonts w:ascii="Times" w:hAnsi="Times" w:cs="Times"/>
          <w:i/>
          <w:iCs/>
          <w:sz w:val="24"/>
          <w:szCs w:val="24"/>
        </w:rPr>
        <w:t>B</w:t>
      </w:r>
      <w:r w:rsidRPr="00CE7B18">
        <w:rPr>
          <w:rFonts w:ascii="Times New Roman" w:hAnsi="Times New Roman" w:cs="Times New Roman"/>
        </w:rPr>
        <w:t>.</w:t>
      </w:r>
    </w:p>
    <w:p w14:paraId="0302F5FE" w14:textId="77777777" w:rsidR="0045554C" w:rsidRPr="0045554C" w:rsidRDefault="0045554C" w:rsidP="0045554C">
      <w:pPr>
        <w:pStyle w:val="Paragraphedeliste"/>
        <w:widowControl w:val="0"/>
        <w:autoSpaceDE w:val="0"/>
        <w:autoSpaceDN w:val="0"/>
        <w:adjustRightInd w:val="0"/>
        <w:spacing w:after="240"/>
        <w:rPr>
          <w:rFonts w:ascii="Times" w:hAnsi="Times" w:cs="Times"/>
          <w:sz w:val="24"/>
          <w:szCs w:val="24"/>
        </w:rPr>
      </w:pPr>
    </w:p>
    <w:p w14:paraId="216DA3C9" w14:textId="77777777" w:rsidR="00297451" w:rsidRDefault="00297451" w:rsidP="00CE7B18">
      <w:pPr>
        <w:pStyle w:val="Paragraphedeliste"/>
        <w:numPr>
          <w:ilvl w:val="0"/>
          <w:numId w:val="29"/>
        </w:numPr>
        <w:jc w:val="both"/>
      </w:pPr>
      <w:r w:rsidRPr="00E92256">
        <w:t xml:space="preserve">Connaissance requise : </w:t>
      </w:r>
    </w:p>
    <w:p w14:paraId="503BC783" w14:textId="77777777" w:rsidR="0045554C" w:rsidRPr="0045554C" w:rsidRDefault="0045554C" w:rsidP="0045554C">
      <w:pPr>
        <w:pStyle w:val="Paragraphedeliste"/>
        <w:widowControl w:val="0"/>
        <w:numPr>
          <w:ilvl w:val="0"/>
          <w:numId w:val="30"/>
        </w:numPr>
        <w:autoSpaceDE w:val="0"/>
        <w:autoSpaceDN w:val="0"/>
        <w:adjustRightInd w:val="0"/>
        <w:spacing w:after="240"/>
        <w:rPr>
          <w:rFonts w:ascii="Times" w:hAnsi="Times" w:cs="Times"/>
          <w:sz w:val="24"/>
          <w:szCs w:val="24"/>
        </w:rPr>
      </w:pPr>
      <w:r w:rsidRPr="0045554C">
        <w:rPr>
          <w:rFonts w:ascii="Times New Roman" w:hAnsi="Times New Roman" w:cs="Times New Roman"/>
          <w:sz w:val="24"/>
          <w:szCs w:val="24"/>
        </w:rPr>
        <w:t>Expérience aléatoire, événement élémentaire, univers, événement.</w:t>
      </w:r>
    </w:p>
    <w:p w14:paraId="2061DCFC" w14:textId="77777777" w:rsidR="0045554C" w:rsidRPr="0045554C" w:rsidRDefault="0045554C" w:rsidP="0045554C">
      <w:pPr>
        <w:pStyle w:val="Paragraphedeliste"/>
        <w:widowControl w:val="0"/>
        <w:numPr>
          <w:ilvl w:val="0"/>
          <w:numId w:val="30"/>
        </w:numPr>
        <w:autoSpaceDE w:val="0"/>
        <w:autoSpaceDN w:val="0"/>
        <w:adjustRightInd w:val="0"/>
        <w:spacing w:after="240"/>
        <w:rPr>
          <w:rFonts w:ascii="Times" w:hAnsi="Times" w:cs="Times"/>
          <w:sz w:val="24"/>
          <w:szCs w:val="24"/>
        </w:rPr>
      </w:pPr>
      <w:r w:rsidRPr="0045554C">
        <w:rPr>
          <w:rFonts w:ascii="Times New Roman" w:hAnsi="Times New Roman" w:cs="Times New Roman"/>
          <w:sz w:val="24"/>
          <w:szCs w:val="24"/>
        </w:rPr>
        <w:t>Réunion et intersection d’événements.</w:t>
      </w:r>
    </w:p>
    <w:p w14:paraId="656774B4" w14:textId="77777777" w:rsidR="0045554C" w:rsidRPr="0045554C" w:rsidRDefault="0045554C" w:rsidP="0045554C">
      <w:pPr>
        <w:pStyle w:val="Paragraphedeliste"/>
        <w:widowControl w:val="0"/>
        <w:numPr>
          <w:ilvl w:val="0"/>
          <w:numId w:val="30"/>
        </w:numPr>
        <w:autoSpaceDE w:val="0"/>
        <w:autoSpaceDN w:val="0"/>
        <w:adjustRightInd w:val="0"/>
        <w:spacing w:after="240"/>
        <w:rPr>
          <w:rFonts w:ascii="Times" w:hAnsi="Times" w:cs="Times"/>
          <w:sz w:val="24"/>
          <w:szCs w:val="24"/>
        </w:rPr>
      </w:pPr>
      <w:r w:rsidRPr="0045554C">
        <w:rPr>
          <w:rFonts w:ascii="Times New Roman" w:hAnsi="Times New Roman" w:cs="Times New Roman"/>
          <w:sz w:val="24"/>
          <w:szCs w:val="24"/>
        </w:rPr>
        <w:t>Événements incompatibles, événements contraires.</w:t>
      </w:r>
    </w:p>
    <w:p w14:paraId="1EEE15E2" w14:textId="77777777" w:rsidR="0045554C" w:rsidRDefault="0045554C" w:rsidP="0045554C">
      <w:pPr>
        <w:pStyle w:val="Paragraphedeliste"/>
        <w:jc w:val="both"/>
      </w:pPr>
    </w:p>
    <w:p w14:paraId="229C6775" w14:textId="743C6128" w:rsidR="0045554C" w:rsidRDefault="0045554C" w:rsidP="0045554C">
      <w:pPr>
        <w:pStyle w:val="Paragraphedeliste"/>
        <w:numPr>
          <w:ilvl w:val="0"/>
          <w:numId w:val="29"/>
        </w:numPr>
        <w:jc w:val="both"/>
      </w:pPr>
      <w:r>
        <w:t>Commentaires :</w:t>
      </w:r>
    </w:p>
    <w:p w14:paraId="064CF7DB" w14:textId="77777777" w:rsidR="0045554C" w:rsidRPr="0045554C" w:rsidRDefault="0045554C" w:rsidP="0045554C">
      <w:pPr>
        <w:pStyle w:val="Paragraphedeliste"/>
        <w:widowControl w:val="0"/>
        <w:numPr>
          <w:ilvl w:val="0"/>
          <w:numId w:val="31"/>
        </w:numPr>
        <w:autoSpaceDE w:val="0"/>
        <w:autoSpaceDN w:val="0"/>
        <w:adjustRightInd w:val="0"/>
        <w:spacing w:after="240"/>
        <w:rPr>
          <w:rFonts w:ascii="Times" w:hAnsi="Times" w:cs="Times"/>
          <w:sz w:val="24"/>
          <w:szCs w:val="24"/>
        </w:rPr>
      </w:pPr>
      <w:r w:rsidRPr="0045554C">
        <w:rPr>
          <w:rFonts w:ascii="Times New Roman" w:hAnsi="Times New Roman" w:cs="Times New Roman"/>
          <w:sz w:val="24"/>
          <w:szCs w:val="24"/>
        </w:rPr>
        <w:t xml:space="preserve">La connaissance des symboles </w:t>
      </w:r>
      <w:r w:rsidRPr="0045554C">
        <w:rPr>
          <w:rFonts w:ascii="Cambria" w:hAnsi="Cambria" w:cs="Cambria"/>
          <w:sz w:val="24"/>
          <w:szCs w:val="24"/>
        </w:rPr>
        <w:t>∪</w:t>
      </w:r>
      <w:r w:rsidRPr="0045554C">
        <w:rPr>
          <w:rFonts w:ascii="Times" w:hAnsi="Times" w:cs="Times"/>
          <w:sz w:val="24"/>
          <w:szCs w:val="24"/>
        </w:rPr>
        <w:t xml:space="preserve"> </w:t>
      </w:r>
      <w:r w:rsidRPr="0045554C">
        <w:rPr>
          <w:rFonts w:ascii="Times New Roman" w:hAnsi="Times New Roman" w:cs="Times New Roman"/>
          <w:sz w:val="24"/>
          <w:szCs w:val="24"/>
        </w:rPr>
        <w:t>(réunion), ∩</w:t>
      </w:r>
      <w:r w:rsidRPr="0045554C">
        <w:rPr>
          <w:rFonts w:ascii="Times" w:hAnsi="Times" w:cs="Times"/>
          <w:sz w:val="24"/>
          <w:szCs w:val="24"/>
        </w:rPr>
        <w:t xml:space="preserve"> </w:t>
      </w:r>
      <w:r w:rsidRPr="0045554C">
        <w:rPr>
          <w:rFonts w:ascii="Times New Roman" w:hAnsi="Times New Roman" w:cs="Times New Roman"/>
          <w:sz w:val="24"/>
          <w:szCs w:val="24"/>
        </w:rPr>
        <w:t>(intersection) et la notation</w:t>
      </w:r>
    </w:p>
    <w:p w14:paraId="51CD4D5F" w14:textId="0CEF7189" w:rsidR="0045554C" w:rsidRPr="0045554C" w:rsidRDefault="0045554C" w:rsidP="0045554C">
      <w:pPr>
        <w:pStyle w:val="Paragraphedeliste"/>
        <w:widowControl w:val="0"/>
        <w:numPr>
          <w:ilvl w:val="0"/>
          <w:numId w:val="31"/>
        </w:numPr>
        <w:autoSpaceDE w:val="0"/>
        <w:autoSpaceDN w:val="0"/>
        <w:adjustRightInd w:val="0"/>
        <w:spacing w:after="240"/>
        <w:rPr>
          <w:rFonts w:ascii="Times" w:hAnsi="Times" w:cs="Times"/>
          <w:sz w:val="24"/>
          <w:szCs w:val="24"/>
        </w:rPr>
      </w:pPr>
      <w:r w:rsidRPr="0045554C">
        <w:rPr>
          <w:rFonts w:ascii="Times" w:hAnsi="Times" w:cs="Times"/>
          <w:i/>
          <w:iCs/>
          <w:sz w:val="24"/>
          <w:szCs w:val="24"/>
        </w:rPr>
        <w:t xml:space="preserve">A </w:t>
      </w:r>
      <w:r w:rsidRPr="0045554C">
        <w:rPr>
          <w:rFonts w:ascii="Times New Roman" w:hAnsi="Times New Roman" w:cs="Times New Roman"/>
          <w:sz w:val="24"/>
          <w:szCs w:val="24"/>
        </w:rPr>
        <w:t>(événement contraire)  est exigible.</w:t>
      </w:r>
    </w:p>
    <w:p w14:paraId="38EF197B" w14:textId="77777777" w:rsidR="0045554C" w:rsidRPr="0045554C" w:rsidRDefault="0045554C" w:rsidP="0045554C">
      <w:pPr>
        <w:pStyle w:val="Paragraphedeliste"/>
        <w:widowControl w:val="0"/>
        <w:numPr>
          <w:ilvl w:val="0"/>
          <w:numId w:val="31"/>
        </w:numPr>
        <w:autoSpaceDE w:val="0"/>
        <w:autoSpaceDN w:val="0"/>
        <w:adjustRightInd w:val="0"/>
        <w:spacing w:after="240"/>
        <w:rPr>
          <w:rFonts w:ascii="Times" w:hAnsi="Times" w:cs="Times"/>
          <w:sz w:val="24"/>
          <w:szCs w:val="24"/>
        </w:rPr>
      </w:pPr>
      <w:r w:rsidRPr="0045554C">
        <w:rPr>
          <w:rFonts w:ascii="Times New Roman" w:hAnsi="Times New Roman" w:cs="Times New Roman"/>
          <w:sz w:val="24"/>
          <w:szCs w:val="24"/>
        </w:rPr>
        <w:t>Faire le lien avec les propriétés des fréquences.</w:t>
      </w:r>
    </w:p>
    <w:p w14:paraId="771EF4B9" w14:textId="77777777" w:rsidR="0045554C" w:rsidRPr="0045554C" w:rsidRDefault="0045554C" w:rsidP="0045554C">
      <w:pPr>
        <w:pStyle w:val="Paragraphedeliste"/>
        <w:widowControl w:val="0"/>
        <w:numPr>
          <w:ilvl w:val="0"/>
          <w:numId w:val="31"/>
        </w:numPr>
        <w:autoSpaceDE w:val="0"/>
        <w:autoSpaceDN w:val="0"/>
        <w:adjustRightInd w:val="0"/>
        <w:spacing w:after="240"/>
        <w:rPr>
          <w:rFonts w:ascii="Times" w:hAnsi="Times" w:cs="Times"/>
          <w:sz w:val="24"/>
          <w:szCs w:val="24"/>
        </w:rPr>
      </w:pPr>
      <w:r w:rsidRPr="0045554C">
        <w:rPr>
          <w:rFonts w:ascii="Times New Roman" w:hAnsi="Times New Roman" w:cs="Times New Roman"/>
          <w:sz w:val="24"/>
          <w:szCs w:val="24"/>
        </w:rPr>
        <w:t>Entraîner les élèves à utiliser à bon escient des représentations pertinentes (arbres, tableaux, diagrammes) pour organiser et dénombrer des données relatives à une expérience aléatoire. Ces représentations constituent une preuve.</w:t>
      </w:r>
    </w:p>
    <w:p w14:paraId="2C3DC2EF" w14:textId="77777777" w:rsidR="0045554C" w:rsidRDefault="0045554C" w:rsidP="0045554C">
      <w:pPr>
        <w:pStyle w:val="Paragraphedeliste"/>
        <w:jc w:val="both"/>
      </w:pPr>
    </w:p>
    <w:p w14:paraId="3A83116F" w14:textId="77777777" w:rsidR="00297451" w:rsidRDefault="00297451" w:rsidP="00297451">
      <w:pPr>
        <w:pStyle w:val="Titre1"/>
      </w:pPr>
      <w:r w:rsidRPr="00986271">
        <w:t>Objectifs d’apprentissage :</w:t>
      </w:r>
    </w:p>
    <w:p w14:paraId="5140AB56" w14:textId="77777777" w:rsidR="00297451" w:rsidRDefault="00297451" w:rsidP="00297451">
      <w:pPr>
        <w:jc w:val="both"/>
      </w:pPr>
      <w:r>
        <w:rPr>
          <w:color w:val="000000"/>
        </w:rPr>
        <w:t xml:space="preserve">A l'issue de la formation l'apprenant doit être capable : </w:t>
      </w:r>
    </w:p>
    <w:p w14:paraId="38F9DE2E" w14:textId="420AC358" w:rsidR="00832080" w:rsidRDefault="0045554C" w:rsidP="00CE7B18">
      <w:pPr>
        <w:pStyle w:val="Paragraphedeliste"/>
        <w:numPr>
          <w:ilvl w:val="0"/>
          <w:numId w:val="29"/>
        </w:numPr>
        <w:jc w:val="both"/>
      </w:pPr>
      <w:r>
        <w:t>D’utiliser un diagramme représentant sous un</w:t>
      </w:r>
      <w:r w:rsidR="006D6112">
        <w:t>e</w:t>
      </w:r>
      <w:r>
        <w:t xml:space="preserve"> forme ensembliste les événements</w:t>
      </w:r>
    </w:p>
    <w:p w14:paraId="090B0B3E" w14:textId="6B7B026C" w:rsidR="0045554C" w:rsidRDefault="0045554C" w:rsidP="00CE7B18">
      <w:pPr>
        <w:pStyle w:val="Paragraphedeliste"/>
        <w:numPr>
          <w:ilvl w:val="0"/>
          <w:numId w:val="29"/>
        </w:numPr>
        <w:jc w:val="both"/>
      </w:pPr>
      <w:r>
        <w:t>De calculer la probabilité de la réunion de 2 événements (compatibles  ou non)</w:t>
      </w:r>
    </w:p>
    <w:p w14:paraId="31F4D21F" w14:textId="5F077491" w:rsidR="006D6112" w:rsidRDefault="006D6112" w:rsidP="00CE7B18">
      <w:pPr>
        <w:pStyle w:val="Paragraphedeliste"/>
        <w:numPr>
          <w:ilvl w:val="0"/>
          <w:numId w:val="29"/>
        </w:numPr>
        <w:jc w:val="both"/>
      </w:pPr>
      <w:r>
        <w:t>De réinvestir la loi de probabilité de la réunion de 2 évènements dans des cas de situation similaires</w:t>
      </w:r>
    </w:p>
    <w:p w14:paraId="60FCF93A" w14:textId="3AA53585" w:rsidR="0045554C" w:rsidRDefault="006D6112" w:rsidP="0045554C">
      <w:pPr>
        <w:pStyle w:val="Paragraphedeliste"/>
        <w:numPr>
          <w:ilvl w:val="0"/>
          <w:numId w:val="29"/>
        </w:numPr>
        <w:jc w:val="both"/>
      </w:pPr>
      <w:r>
        <w:t>De s’approprier le langage probabiliste dans des situations courantes</w:t>
      </w:r>
    </w:p>
    <w:p w14:paraId="63F21D6E" w14:textId="77777777" w:rsidR="0045554C" w:rsidRDefault="0045554C" w:rsidP="0045554C">
      <w:pPr>
        <w:jc w:val="both"/>
      </w:pPr>
    </w:p>
    <w:p w14:paraId="70C171D3" w14:textId="77777777" w:rsidR="00297451" w:rsidRPr="00986271" w:rsidRDefault="00297451" w:rsidP="00297451">
      <w:pPr>
        <w:jc w:val="both"/>
      </w:pPr>
      <w:r w:rsidRPr="00986271">
        <w:t>Principaux pré-requis :</w:t>
      </w:r>
    </w:p>
    <w:p w14:paraId="48389A9F" w14:textId="5A3B65F1" w:rsidR="00E75779" w:rsidRDefault="0045554C" w:rsidP="008E3332">
      <w:pPr>
        <w:numPr>
          <w:ilvl w:val="0"/>
          <w:numId w:val="3"/>
        </w:numPr>
        <w:tabs>
          <w:tab w:val="clear" w:pos="720"/>
        </w:tabs>
        <w:spacing w:after="0"/>
        <w:ind w:left="284" w:hanging="142"/>
        <w:rPr>
          <w:rFonts w:ascii="Arial" w:hAnsi="Arial" w:cs="Arial"/>
          <w:sz w:val="20"/>
          <w:szCs w:val="20"/>
        </w:rPr>
      </w:pPr>
      <w:r>
        <w:rPr>
          <w:rFonts w:ascii="Arial" w:hAnsi="Arial" w:cs="Arial"/>
          <w:sz w:val="20"/>
          <w:szCs w:val="20"/>
        </w:rPr>
        <w:t>Calcul de la fréquence d’un événement</w:t>
      </w:r>
    </w:p>
    <w:p w14:paraId="3CF33B6C" w14:textId="18C2B2A6" w:rsidR="0045554C" w:rsidRDefault="0045554C" w:rsidP="008E3332">
      <w:pPr>
        <w:numPr>
          <w:ilvl w:val="0"/>
          <w:numId w:val="3"/>
        </w:numPr>
        <w:tabs>
          <w:tab w:val="clear" w:pos="720"/>
        </w:tabs>
        <w:spacing w:after="0"/>
        <w:ind w:left="284" w:hanging="142"/>
        <w:rPr>
          <w:rFonts w:ascii="Arial" w:hAnsi="Arial" w:cs="Arial"/>
          <w:sz w:val="20"/>
          <w:szCs w:val="20"/>
        </w:rPr>
      </w:pPr>
      <w:r>
        <w:rPr>
          <w:rFonts w:ascii="Arial" w:hAnsi="Arial" w:cs="Arial"/>
          <w:sz w:val="20"/>
          <w:szCs w:val="20"/>
        </w:rPr>
        <w:t>Résultats des classe de secondes et première sur les fluctuation d’une fréquence</w:t>
      </w:r>
    </w:p>
    <w:p w14:paraId="3E90A00D" w14:textId="08D6A8BA" w:rsidR="007F58C0" w:rsidRPr="008E3332" w:rsidRDefault="0045554C" w:rsidP="008E3332">
      <w:pPr>
        <w:numPr>
          <w:ilvl w:val="0"/>
          <w:numId w:val="3"/>
        </w:numPr>
        <w:tabs>
          <w:tab w:val="clear" w:pos="720"/>
        </w:tabs>
        <w:spacing w:after="0"/>
        <w:ind w:left="284" w:hanging="142"/>
        <w:rPr>
          <w:rFonts w:ascii="Arial" w:hAnsi="Arial" w:cs="Arial"/>
          <w:sz w:val="20"/>
          <w:szCs w:val="20"/>
        </w:rPr>
      </w:pPr>
      <w:r>
        <w:rPr>
          <w:rFonts w:ascii="Arial" w:hAnsi="Arial" w:cs="Arial"/>
          <w:sz w:val="20"/>
          <w:szCs w:val="20"/>
        </w:rPr>
        <w:t>Edition de formules sur un tableur grapheur</w:t>
      </w:r>
    </w:p>
    <w:p w14:paraId="4D58E7D7" w14:textId="77777777" w:rsidR="00297451" w:rsidRDefault="00297451" w:rsidP="00881D3A">
      <w:pPr>
        <w:pStyle w:val="Titre1"/>
      </w:pPr>
      <w:r w:rsidRPr="00986271">
        <w:t>Structure générale et durée prévisionnelle :</w:t>
      </w:r>
    </w:p>
    <w:p w14:paraId="66C30A21" w14:textId="59164749" w:rsidR="00881D3A" w:rsidRDefault="00881D3A" w:rsidP="00881D3A">
      <w:pPr>
        <w:rPr>
          <w:b/>
          <w:u w:val="single"/>
        </w:rPr>
      </w:pPr>
      <w:r w:rsidRPr="00D11134">
        <w:t xml:space="preserve">Ce module se déroule </w:t>
      </w:r>
      <w:r>
        <w:t xml:space="preserve">sur une séance de </w:t>
      </w:r>
      <w:r w:rsidR="0045554C">
        <w:t xml:space="preserve">     </w:t>
      </w:r>
      <w:r w:rsidR="00CC0592">
        <w:t>55</w:t>
      </w:r>
      <w:r w:rsidR="007F58C0">
        <w:t xml:space="preserve">  minutes : </w:t>
      </w:r>
    </w:p>
    <w:p w14:paraId="0D44993D" w14:textId="77777777" w:rsidR="0045554C" w:rsidRDefault="0045554C" w:rsidP="00881D3A">
      <w:pPr>
        <w:rPr>
          <w:b/>
          <w:u w:val="single"/>
        </w:rPr>
      </w:pPr>
    </w:p>
    <w:p w14:paraId="1BB77BC6" w14:textId="77777777" w:rsidR="0045554C" w:rsidRDefault="0045554C" w:rsidP="00881D3A">
      <w:pPr>
        <w:rPr>
          <w:b/>
          <w:u w:val="single"/>
        </w:rPr>
      </w:pPr>
    </w:p>
    <w:p w14:paraId="691420C3" w14:textId="77777777" w:rsidR="0045554C" w:rsidRPr="00887DFE" w:rsidRDefault="0045554C" w:rsidP="00881D3A">
      <w:pPr>
        <w:rPr>
          <w:b/>
          <w:u w:val="single"/>
        </w:rPr>
      </w:pPr>
    </w:p>
    <w:p w14:paraId="63688AD3" w14:textId="77777777" w:rsidR="00881D3A" w:rsidRPr="00881D3A" w:rsidRDefault="00881D3A" w:rsidP="00881D3A">
      <w:r w:rsidRPr="00881D3A">
        <w:t xml:space="preserve">La démarche pédagogique se développe selon </w:t>
      </w:r>
      <w:r>
        <w:t xml:space="preserve">4 </w:t>
      </w:r>
      <w:r w:rsidRPr="00881D3A">
        <w:t>phases :</w:t>
      </w:r>
    </w:p>
    <w:p w14:paraId="3CA29DA4" w14:textId="69C178B1" w:rsidR="00881D3A" w:rsidRPr="00881D3A" w:rsidRDefault="00881D3A" w:rsidP="00881D3A">
      <w:pPr>
        <w:pStyle w:val="Paragraphedeliste"/>
        <w:numPr>
          <w:ilvl w:val="0"/>
          <w:numId w:val="14"/>
        </w:numPr>
      </w:pPr>
      <w:r w:rsidRPr="00881D3A">
        <w:t>phase de mobilisation : exposé de la situation-problème ;</w:t>
      </w:r>
      <w:r w:rsidR="00CC0592">
        <w:t xml:space="preserve"> </w:t>
      </w:r>
      <w:r w:rsidR="00CC0592">
        <w:rPr>
          <w:b/>
        </w:rPr>
        <w:tab/>
        <w:t xml:space="preserve">durée </w:t>
      </w:r>
      <w:r w:rsidR="0088178E">
        <w:rPr>
          <w:b/>
        </w:rPr>
        <w:t>15 minutes (film compris)</w:t>
      </w:r>
    </w:p>
    <w:p w14:paraId="45866003" w14:textId="77777777" w:rsidR="00881D3A" w:rsidRPr="00881D3A" w:rsidRDefault="00881D3A" w:rsidP="00881D3A">
      <w:pPr>
        <w:pStyle w:val="Paragraphedeliste"/>
        <w:numPr>
          <w:ilvl w:val="0"/>
          <w:numId w:val="14"/>
        </w:numPr>
      </w:pPr>
      <w:r w:rsidRPr="00881D3A">
        <w:t xml:space="preserve">phase de travail de groupe ; </w:t>
      </w:r>
    </w:p>
    <w:p w14:paraId="4F1E3F36" w14:textId="77777777" w:rsidR="00881D3A" w:rsidRPr="00881D3A" w:rsidRDefault="00881D3A" w:rsidP="00881D3A">
      <w:pPr>
        <w:pStyle w:val="Paragraphedeliste"/>
        <w:numPr>
          <w:ilvl w:val="0"/>
          <w:numId w:val="14"/>
        </w:numPr>
      </w:pPr>
      <w:r w:rsidRPr="00881D3A">
        <w:t>phase de collecte des travaux et d’analyse collective (enseignant inclus) du problème ;</w:t>
      </w:r>
    </w:p>
    <w:p w14:paraId="7631FBBD" w14:textId="107AD68F" w:rsidR="0045554C" w:rsidRDefault="00881D3A" w:rsidP="00C0416C">
      <w:pPr>
        <w:pStyle w:val="Paragraphedeliste"/>
        <w:numPr>
          <w:ilvl w:val="0"/>
          <w:numId w:val="14"/>
        </w:numPr>
      </w:pPr>
      <w:r w:rsidRPr="00881D3A">
        <w:t xml:space="preserve">phase de structuration </w:t>
      </w:r>
      <w:r>
        <w:t>et de synthèse</w:t>
      </w:r>
      <w:r w:rsidR="00832080">
        <w:t>.</w:t>
      </w:r>
    </w:p>
    <w:p w14:paraId="02607711" w14:textId="77777777" w:rsidR="00C0416C" w:rsidRDefault="00C0416C" w:rsidP="00C0416C">
      <w:pPr>
        <w:pStyle w:val="Titre1"/>
      </w:pPr>
      <w:r>
        <w:t xml:space="preserve">Compétences mises en </w:t>
      </w:r>
      <w:r w:rsidR="00381273">
        <w:t xml:space="preserve">œuvre </w:t>
      </w:r>
      <w:r>
        <w:t>dans ce module :</w:t>
      </w:r>
    </w:p>
    <w:p w14:paraId="49C47DB9" w14:textId="77777777" w:rsidR="00C0416C" w:rsidRPr="00C0416C" w:rsidRDefault="00C0416C" w:rsidP="00C0416C"/>
    <w:tbl>
      <w:tblPr>
        <w:tblStyle w:val="Grille"/>
        <w:tblW w:w="0" w:type="auto"/>
        <w:jc w:val="center"/>
        <w:tblLook w:val="04A0" w:firstRow="1" w:lastRow="0" w:firstColumn="1" w:lastColumn="0" w:noHBand="0" w:noVBand="1"/>
      </w:tblPr>
      <w:tblGrid>
        <w:gridCol w:w="3406"/>
        <w:gridCol w:w="964"/>
        <w:gridCol w:w="992"/>
        <w:gridCol w:w="993"/>
      </w:tblGrid>
      <w:tr w:rsidR="008014C3" w14:paraId="79A2BF2A" w14:textId="77777777" w:rsidTr="008014C3">
        <w:trPr>
          <w:jc w:val="center"/>
        </w:trPr>
        <w:tc>
          <w:tcPr>
            <w:tcW w:w="3406" w:type="dxa"/>
            <w:tcBorders>
              <w:top w:val="nil"/>
              <w:left w:val="nil"/>
              <w:bottom w:val="single" w:sz="4" w:space="0" w:color="auto"/>
              <w:right w:val="single" w:sz="4" w:space="0" w:color="auto"/>
            </w:tcBorders>
          </w:tcPr>
          <w:p w14:paraId="1218050B" w14:textId="77777777" w:rsidR="008014C3" w:rsidRDefault="008014C3"/>
        </w:tc>
        <w:tc>
          <w:tcPr>
            <w:tcW w:w="964" w:type="dxa"/>
            <w:tcBorders>
              <w:left w:val="single" w:sz="4" w:space="0" w:color="auto"/>
              <w:bottom w:val="single" w:sz="4" w:space="0" w:color="auto"/>
            </w:tcBorders>
          </w:tcPr>
          <w:p w14:paraId="3E863184" w14:textId="77777777" w:rsidR="008014C3" w:rsidRDefault="008014C3">
            <w:r>
              <w:t>Phase 1</w:t>
            </w:r>
          </w:p>
        </w:tc>
        <w:tc>
          <w:tcPr>
            <w:tcW w:w="992" w:type="dxa"/>
            <w:tcBorders>
              <w:bottom w:val="single" w:sz="4" w:space="0" w:color="auto"/>
            </w:tcBorders>
          </w:tcPr>
          <w:p w14:paraId="3D266979" w14:textId="77777777" w:rsidR="008014C3" w:rsidRDefault="008014C3">
            <w:r>
              <w:t>Phase 2</w:t>
            </w:r>
          </w:p>
        </w:tc>
        <w:tc>
          <w:tcPr>
            <w:tcW w:w="993" w:type="dxa"/>
            <w:tcBorders>
              <w:bottom w:val="single" w:sz="4" w:space="0" w:color="auto"/>
            </w:tcBorders>
          </w:tcPr>
          <w:p w14:paraId="05A91C9B" w14:textId="77777777" w:rsidR="008014C3" w:rsidRDefault="008014C3">
            <w:r>
              <w:t>Phase 3</w:t>
            </w:r>
          </w:p>
        </w:tc>
      </w:tr>
      <w:tr w:rsidR="008014C3" w14:paraId="7CC8E53B" w14:textId="77777777" w:rsidTr="008014C3">
        <w:trPr>
          <w:jc w:val="center"/>
        </w:trPr>
        <w:tc>
          <w:tcPr>
            <w:tcW w:w="3406" w:type="dxa"/>
            <w:tcBorders>
              <w:top w:val="single" w:sz="4" w:space="0" w:color="auto"/>
              <w:left w:val="single" w:sz="4" w:space="0" w:color="auto"/>
              <w:bottom w:val="single" w:sz="4" w:space="0" w:color="auto"/>
              <w:right w:val="single" w:sz="4" w:space="0" w:color="auto"/>
            </w:tcBorders>
          </w:tcPr>
          <w:p w14:paraId="738CB43A" w14:textId="77777777" w:rsidR="008014C3" w:rsidRDefault="008014C3">
            <w:pPr>
              <w:rPr>
                <w:rFonts w:ascii="Calibri" w:hAnsi="Calibri" w:cs="Calibri"/>
                <w:sz w:val="20"/>
                <w:szCs w:val="20"/>
              </w:rPr>
            </w:pPr>
            <w:r w:rsidRPr="00C0416C">
              <w:rPr>
                <w:rFonts w:ascii="Calibri" w:hAnsi="Calibri" w:cs="Calibri"/>
                <w:sz w:val="20"/>
                <w:szCs w:val="20"/>
              </w:rPr>
              <w:t>C1 : Rechercher, extraire et organiser l’information</w:t>
            </w:r>
          </w:p>
          <w:p w14:paraId="77EB0C94" w14:textId="77777777" w:rsidR="008014C3" w:rsidRDefault="008014C3"/>
        </w:tc>
        <w:tc>
          <w:tcPr>
            <w:tcW w:w="964" w:type="dxa"/>
            <w:tcBorders>
              <w:left w:val="single" w:sz="4" w:space="0" w:color="auto"/>
            </w:tcBorders>
            <w:shd w:val="solid" w:color="95B3D7" w:themeColor="accent1" w:themeTint="99" w:fill="99CCFF"/>
          </w:tcPr>
          <w:p w14:paraId="0F4E7F2E" w14:textId="77777777" w:rsidR="008014C3" w:rsidRDefault="008014C3"/>
        </w:tc>
        <w:tc>
          <w:tcPr>
            <w:tcW w:w="992" w:type="dxa"/>
            <w:tcBorders>
              <w:bottom w:val="single" w:sz="4" w:space="0" w:color="auto"/>
            </w:tcBorders>
            <w:shd w:val="clear" w:color="auto" w:fill="auto"/>
          </w:tcPr>
          <w:p w14:paraId="330AADD9" w14:textId="77777777" w:rsidR="008014C3" w:rsidRDefault="008014C3"/>
          <w:p w14:paraId="5171D376" w14:textId="77777777" w:rsidR="008014C3" w:rsidRDefault="008014C3"/>
        </w:tc>
        <w:tc>
          <w:tcPr>
            <w:tcW w:w="993" w:type="dxa"/>
            <w:shd w:val="clear" w:color="auto" w:fill="auto"/>
          </w:tcPr>
          <w:p w14:paraId="16CA4836" w14:textId="77777777" w:rsidR="008014C3" w:rsidRDefault="008014C3"/>
        </w:tc>
      </w:tr>
      <w:tr w:rsidR="008014C3" w14:paraId="12DA8A6C" w14:textId="77777777" w:rsidTr="00935F3A">
        <w:trPr>
          <w:jc w:val="center"/>
        </w:trPr>
        <w:tc>
          <w:tcPr>
            <w:tcW w:w="3406" w:type="dxa"/>
            <w:tcBorders>
              <w:top w:val="single" w:sz="4" w:space="0" w:color="auto"/>
              <w:left w:val="single" w:sz="4" w:space="0" w:color="auto"/>
              <w:bottom w:val="single" w:sz="4" w:space="0" w:color="auto"/>
              <w:right w:val="single" w:sz="4" w:space="0" w:color="auto"/>
            </w:tcBorders>
          </w:tcPr>
          <w:p w14:paraId="420F0471" w14:textId="77777777" w:rsidR="008014C3" w:rsidRDefault="008014C3">
            <w:pPr>
              <w:rPr>
                <w:rFonts w:ascii="Calibri" w:hAnsi="Calibri" w:cs="Calibri"/>
                <w:sz w:val="20"/>
                <w:szCs w:val="20"/>
              </w:rPr>
            </w:pPr>
            <w:r w:rsidRPr="00C0416C">
              <w:rPr>
                <w:rFonts w:ascii="Calibri" w:hAnsi="Calibri" w:cs="Calibri"/>
                <w:sz w:val="20"/>
                <w:szCs w:val="20"/>
              </w:rPr>
              <w:t>C2 : Choisir et exécuter une méthode de résolution</w:t>
            </w:r>
          </w:p>
          <w:p w14:paraId="552A2E34" w14:textId="77777777" w:rsidR="008014C3" w:rsidRDefault="008014C3"/>
        </w:tc>
        <w:tc>
          <w:tcPr>
            <w:tcW w:w="964" w:type="dxa"/>
            <w:tcBorders>
              <w:left w:val="single" w:sz="4" w:space="0" w:color="auto"/>
            </w:tcBorders>
            <w:shd w:val="solid" w:color="95B3D7" w:themeColor="accent1" w:themeTint="99" w:fill="99CCFF"/>
          </w:tcPr>
          <w:p w14:paraId="4E3B61D9" w14:textId="77777777" w:rsidR="008014C3" w:rsidRDefault="008014C3"/>
        </w:tc>
        <w:tc>
          <w:tcPr>
            <w:tcW w:w="992" w:type="dxa"/>
            <w:shd w:val="solid" w:color="8DB3E2" w:themeColor="text2" w:themeTint="66" w:fill="auto"/>
          </w:tcPr>
          <w:p w14:paraId="57259D52" w14:textId="77777777" w:rsidR="008014C3" w:rsidRDefault="008014C3"/>
        </w:tc>
        <w:tc>
          <w:tcPr>
            <w:tcW w:w="993" w:type="dxa"/>
            <w:tcBorders>
              <w:bottom w:val="single" w:sz="4" w:space="0" w:color="auto"/>
            </w:tcBorders>
            <w:shd w:val="clear" w:color="auto" w:fill="auto"/>
          </w:tcPr>
          <w:p w14:paraId="5911244F" w14:textId="77777777" w:rsidR="008014C3" w:rsidRDefault="008014C3"/>
        </w:tc>
      </w:tr>
      <w:tr w:rsidR="008014C3" w14:paraId="61004ADE" w14:textId="77777777" w:rsidTr="00935F3A">
        <w:trPr>
          <w:jc w:val="center"/>
        </w:trPr>
        <w:tc>
          <w:tcPr>
            <w:tcW w:w="3406" w:type="dxa"/>
            <w:tcBorders>
              <w:top w:val="single" w:sz="4" w:space="0" w:color="auto"/>
              <w:left w:val="single" w:sz="4" w:space="0" w:color="auto"/>
              <w:bottom w:val="single" w:sz="4" w:space="0" w:color="auto"/>
              <w:right w:val="single" w:sz="4" w:space="0" w:color="auto"/>
            </w:tcBorders>
          </w:tcPr>
          <w:p w14:paraId="64FD1C3D" w14:textId="77777777" w:rsidR="008014C3" w:rsidRDefault="008014C3">
            <w:pPr>
              <w:rPr>
                <w:rFonts w:ascii="Calibri" w:hAnsi="Calibri" w:cs="Calibri"/>
                <w:sz w:val="20"/>
                <w:szCs w:val="20"/>
              </w:rPr>
            </w:pPr>
            <w:r w:rsidRPr="00C0416C">
              <w:rPr>
                <w:rFonts w:ascii="Calibri" w:hAnsi="Calibri" w:cs="Calibri"/>
                <w:sz w:val="20"/>
                <w:szCs w:val="20"/>
              </w:rPr>
              <w:t>C3 : Raisonner, argumenter, critiquer et valider un résultat</w:t>
            </w:r>
          </w:p>
          <w:p w14:paraId="5D313A2F" w14:textId="77777777" w:rsidR="008014C3" w:rsidRDefault="008014C3"/>
        </w:tc>
        <w:tc>
          <w:tcPr>
            <w:tcW w:w="964" w:type="dxa"/>
            <w:tcBorders>
              <w:left w:val="single" w:sz="4" w:space="0" w:color="auto"/>
            </w:tcBorders>
            <w:shd w:val="clear" w:color="auto" w:fill="auto"/>
          </w:tcPr>
          <w:p w14:paraId="4491F7BD" w14:textId="77777777" w:rsidR="008014C3" w:rsidRDefault="008014C3"/>
        </w:tc>
        <w:tc>
          <w:tcPr>
            <w:tcW w:w="992" w:type="dxa"/>
            <w:shd w:val="solid" w:color="8DB3E2" w:themeColor="text2" w:themeTint="66" w:fill="auto"/>
          </w:tcPr>
          <w:p w14:paraId="2ED9DF42" w14:textId="77777777" w:rsidR="008014C3" w:rsidRDefault="008014C3"/>
        </w:tc>
        <w:tc>
          <w:tcPr>
            <w:tcW w:w="993" w:type="dxa"/>
            <w:shd w:val="solid" w:color="8DB3E2" w:themeColor="text2" w:themeTint="66" w:fill="auto"/>
          </w:tcPr>
          <w:p w14:paraId="7756B965" w14:textId="77777777" w:rsidR="008014C3" w:rsidRDefault="008014C3"/>
        </w:tc>
      </w:tr>
      <w:tr w:rsidR="008014C3" w14:paraId="51C6EC53" w14:textId="77777777" w:rsidTr="00935F3A">
        <w:trPr>
          <w:jc w:val="center"/>
        </w:trPr>
        <w:tc>
          <w:tcPr>
            <w:tcW w:w="3406" w:type="dxa"/>
            <w:tcBorders>
              <w:top w:val="single" w:sz="4" w:space="0" w:color="auto"/>
              <w:left w:val="single" w:sz="4" w:space="0" w:color="auto"/>
              <w:bottom w:val="single" w:sz="4" w:space="0" w:color="auto"/>
              <w:right w:val="single" w:sz="4" w:space="0" w:color="auto"/>
            </w:tcBorders>
          </w:tcPr>
          <w:p w14:paraId="6345237A" w14:textId="77777777" w:rsidR="008014C3" w:rsidRDefault="008014C3">
            <w:pPr>
              <w:rPr>
                <w:rFonts w:ascii="Calibri" w:hAnsi="Calibri" w:cs="Calibri"/>
                <w:sz w:val="20"/>
                <w:szCs w:val="20"/>
              </w:rPr>
            </w:pPr>
            <w:r w:rsidRPr="00C0416C">
              <w:rPr>
                <w:rFonts w:ascii="Calibri" w:hAnsi="Calibri" w:cs="Calibri"/>
                <w:sz w:val="20"/>
                <w:szCs w:val="20"/>
              </w:rPr>
              <w:t>C4 : Présenter, communiquer un résultat.</w:t>
            </w:r>
          </w:p>
          <w:p w14:paraId="6E6EF0AF" w14:textId="77777777" w:rsidR="008014C3" w:rsidRDefault="008014C3"/>
        </w:tc>
        <w:tc>
          <w:tcPr>
            <w:tcW w:w="964" w:type="dxa"/>
            <w:tcBorders>
              <w:left w:val="single" w:sz="4" w:space="0" w:color="auto"/>
            </w:tcBorders>
            <w:shd w:val="clear" w:color="auto" w:fill="auto"/>
          </w:tcPr>
          <w:p w14:paraId="311462F6" w14:textId="77777777" w:rsidR="008014C3" w:rsidRDefault="008014C3"/>
        </w:tc>
        <w:tc>
          <w:tcPr>
            <w:tcW w:w="992" w:type="dxa"/>
            <w:tcBorders>
              <w:bottom w:val="single" w:sz="4" w:space="0" w:color="auto"/>
            </w:tcBorders>
            <w:shd w:val="clear" w:color="auto" w:fill="auto"/>
          </w:tcPr>
          <w:p w14:paraId="762534BB" w14:textId="77777777" w:rsidR="008014C3" w:rsidRDefault="008014C3"/>
        </w:tc>
        <w:tc>
          <w:tcPr>
            <w:tcW w:w="993" w:type="dxa"/>
            <w:tcBorders>
              <w:bottom w:val="single" w:sz="4" w:space="0" w:color="auto"/>
            </w:tcBorders>
            <w:shd w:val="solid" w:color="8DB3E2" w:themeColor="text2" w:themeTint="66" w:fill="auto"/>
          </w:tcPr>
          <w:p w14:paraId="0C64E113" w14:textId="77777777" w:rsidR="008014C3" w:rsidRDefault="008014C3"/>
        </w:tc>
      </w:tr>
      <w:tr w:rsidR="008014C3" w14:paraId="590095D6" w14:textId="77777777" w:rsidTr="008014C3">
        <w:trPr>
          <w:jc w:val="center"/>
        </w:trPr>
        <w:tc>
          <w:tcPr>
            <w:tcW w:w="3406" w:type="dxa"/>
            <w:tcBorders>
              <w:top w:val="single" w:sz="4" w:space="0" w:color="auto"/>
              <w:left w:val="single" w:sz="4" w:space="0" w:color="auto"/>
              <w:bottom w:val="single" w:sz="4" w:space="0" w:color="auto"/>
              <w:right w:val="single" w:sz="4" w:space="0" w:color="auto"/>
            </w:tcBorders>
          </w:tcPr>
          <w:p w14:paraId="57651187" w14:textId="77777777" w:rsidR="008014C3" w:rsidRDefault="008014C3" w:rsidP="00381273">
            <w:pPr>
              <w:rPr>
                <w:rFonts w:ascii="Calibri" w:hAnsi="Calibri" w:cs="Calibri"/>
                <w:sz w:val="20"/>
                <w:szCs w:val="20"/>
              </w:rPr>
            </w:pPr>
            <w:r w:rsidRPr="00C0416C">
              <w:rPr>
                <w:rFonts w:ascii="Calibri" w:hAnsi="Calibri" w:cs="Calibri"/>
                <w:sz w:val="20"/>
                <w:szCs w:val="20"/>
              </w:rPr>
              <w:t xml:space="preserve">C5 : Capacités </w:t>
            </w:r>
            <w:r>
              <w:rPr>
                <w:rFonts w:ascii="Calibri" w:hAnsi="Calibri" w:cs="Calibri"/>
                <w:sz w:val="20"/>
                <w:szCs w:val="20"/>
              </w:rPr>
              <w:t xml:space="preserve">liées </w:t>
            </w:r>
            <w:r w:rsidRPr="00C0416C">
              <w:rPr>
                <w:rFonts w:ascii="Calibri" w:hAnsi="Calibri" w:cs="Calibri"/>
                <w:sz w:val="20"/>
                <w:szCs w:val="20"/>
              </w:rPr>
              <w:t xml:space="preserve">à l’utilisation des TICE </w:t>
            </w:r>
          </w:p>
          <w:p w14:paraId="5B5E5F07" w14:textId="77777777" w:rsidR="008014C3" w:rsidRDefault="008014C3" w:rsidP="00D24A50">
            <w:pPr>
              <w:pStyle w:val="Paragraphedeliste"/>
              <w:numPr>
                <w:ilvl w:val="0"/>
                <w:numId w:val="21"/>
              </w:numPr>
            </w:pPr>
            <w:r>
              <w:t>EXPERIMENTER</w:t>
            </w:r>
          </w:p>
        </w:tc>
        <w:tc>
          <w:tcPr>
            <w:tcW w:w="964" w:type="dxa"/>
            <w:tcBorders>
              <w:left w:val="single" w:sz="4" w:space="0" w:color="auto"/>
            </w:tcBorders>
            <w:shd w:val="clear" w:color="auto" w:fill="auto"/>
          </w:tcPr>
          <w:p w14:paraId="4E707A77" w14:textId="77777777" w:rsidR="008014C3" w:rsidRDefault="008014C3" w:rsidP="0045554C"/>
        </w:tc>
        <w:tc>
          <w:tcPr>
            <w:tcW w:w="992" w:type="dxa"/>
            <w:shd w:val="solid" w:color="8DB3E2" w:themeColor="text2" w:themeTint="66" w:fill="auto"/>
          </w:tcPr>
          <w:p w14:paraId="4C1708C9" w14:textId="77777777" w:rsidR="008014C3" w:rsidRDefault="008014C3" w:rsidP="0045554C"/>
        </w:tc>
        <w:tc>
          <w:tcPr>
            <w:tcW w:w="993" w:type="dxa"/>
            <w:shd w:val="solid" w:color="8DB3E2" w:themeColor="text2" w:themeTint="66" w:fill="auto"/>
          </w:tcPr>
          <w:p w14:paraId="2AB8F3E4" w14:textId="77777777" w:rsidR="008014C3" w:rsidRDefault="008014C3" w:rsidP="0045554C"/>
        </w:tc>
      </w:tr>
    </w:tbl>
    <w:p w14:paraId="06811367" w14:textId="77777777" w:rsidR="00B450DF" w:rsidRDefault="00B450DF" w:rsidP="007F58C0"/>
    <w:p w14:paraId="20D21609" w14:textId="77777777" w:rsidR="00B450DF" w:rsidRPr="00F05C1B" w:rsidRDefault="00B450DF" w:rsidP="007F58C0">
      <w:pPr>
        <w:rPr>
          <w:b/>
        </w:rPr>
      </w:pPr>
      <w:r w:rsidRPr="00F05C1B">
        <w:rPr>
          <w:b/>
        </w:rPr>
        <w:t>Il s’agit d’une situation favorable à l’expérimentation mathématique (Capacité C5)</w:t>
      </w:r>
    </w:p>
    <w:p w14:paraId="36A412EA" w14:textId="4FEE9C6F" w:rsidR="00B450DF" w:rsidRDefault="00B450DF" w:rsidP="007F58C0">
      <w:r>
        <w:t xml:space="preserve">Elle conduit à conjecturer </w:t>
      </w:r>
      <w:r w:rsidR="00FC2EFB">
        <w:t>ou à retrouver la formule</w:t>
      </w:r>
      <w:r>
        <w:t xml:space="preserve"> permettant de calculer </w:t>
      </w:r>
      <w:r w:rsidR="00FC2EFB">
        <w:t>la probabilité de l’union de deux événements non disjoints.</w:t>
      </w:r>
    </w:p>
    <w:p w14:paraId="4F7664F6" w14:textId="77777777" w:rsidR="00B450DF" w:rsidRDefault="00B450DF" w:rsidP="007F58C0"/>
    <w:p w14:paraId="0C0C15ED" w14:textId="77777777" w:rsidR="00C0416C" w:rsidRDefault="00C0416C" w:rsidP="007F58C0">
      <w:r>
        <w:br w:type="page"/>
      </w:r>
    </w:p>
    <w:p w14:paraId="46B1CF6F" w14:textId="77777777" w:rsidR="00B450DF" w:rsidRPr="00881D3A" w:rsidRDefault="00B450DF" w:rsidP="007F58C0"/>
    <w:p w14:paraId="2E6FA0DA" w14:textId="77777777" w:rsidR="00297451" w:rsidRPr="00297451" w:rsidRDefault="00832080" w:rsidP="00832080">
      <w:pPr>
        <w:pStyle w:val="Titre"/>
      </w:pPr>
      <w:r>
        <w:t>Organisation des apprentissages</w:t>
      </w:r>
    </w:p>
    <w:p w14:paraId="0B7AA8A2" w14:textId="25D879C9" w:rsidR="007F58C0" w:rsidRDefault="00940F62" w:rsidP="00297451">
      <w:pPr>
        <w:pStyle w:val="Titre1"/>
        <w:jc w:val="both"/>
      </w:pPr>
      <w:r>
        <w:t>Phase</w:t>
      </w:r>
      <w:r w:rsidR="007F58C0">
        <w:t xml:space="preserve"> 1</w:t>
      </w:r>
      <w:r w:rsidR="003361B7">
        <w:t xml:space="preserve"> : </w:t>
      </w:r>
      <w:r w:rsidR="0088178E">
        <w:t>Présentation de la problématique</w:t>
      </w:r>
    </w:p>
    <w:p w14:paraId="0DA397D9" w14:textId="77777777" w:rsidR="009F12F5" w:rsidRPr="009F12F5" w:rsidRDefault="009F12F5" w:rsidP="009F12F5"/>
    <w:p w14:paraId="4A8FDCE5" w14:textId="3167643A" w:rsidR="0088178E" w:rsidRDefault="0088178E" w:rsidP="0088178E">
      <w:r>
        <w:t xml:space="preserve"> Elle débute la séance d’une heure. On projette une vidéo présentant les TMS dans le secteur du bâtiment : </w:t>
      </w:r>
      <w:hyperlink r:id="rId8" w:anchor=".UZU9PpXpCWc" w:history="1">
        <w:r w:rsidRPr="00D43E97">
          <w:rPr>
            <w:rStyle w:val="Lienhypertexte"/>
          </w:rPr>
          <w:t>http://www.dailymotion.com/video/xcs6ox_video-de-sensibilisation-sur-les-tm_news#.UZU9PpXpCWc</w:t>
        </w:r>
      </w:hyperlink>
    </w:p>
    <w:p w14:paraId="5FCCC734" w14:textId="2F401630" w:rsidR="009F12F5" w:rsidRDefault="0088178E" w:rsidP="0088178E">
      <w:r>
        <w:t>Il s’agit d’introduire le travail par une présentation des troubles musculo-squelettiques. Une discussion peut être engagé sur les précaution</w:t>
      </w:r>
      <w:r w:rsidR="009F12F5">
        <w:t>s</w:t>
      </w:r>
      <w:r>
        <w:t xml:space="preserve"> et les principes d’apparition des risques (en lien avec le cours de PSE). On présente ainsi le terme général des TMS afin qu’il ne soit plus une difficulté d’apprentissage.</w:t>
      </w:r>
    </w:p>
    <w:p w14:paraId="0CE72014" w14:textId="5EEFC406" w:rsidR="0088178E" w:rsidRDefault="009F12F5" w:rsidP="0088178E">
      <w:r>
        <w:t>Ens</w:t>
      </w:r>
      <w:r w:rsidR="0088178E">
        <w:t>uite la fiche 1 de travail est distribuée à tous les élèves répartis par groupe de 4. Il faut un petit temps pour que les échanges</w:t>
      </w:r>
      <w:r>
        <w:t xml:space="preserve"> à l’intérieur des groupes démarrent. L’objectif de l’enseignant est d’observer sans trop interférer et surtout de tenter de stimuler ces échanges en rebondissant au proposition individuelles si besoin.</w:t>
      </w:r>
    </w:p>
    <w:p w14:paraId="797440B4" w14:textId="23E3CE5F" w:rsidR="009F12F5" w:rsidRDefault="009F12F5" w:rsidP="0088178E">
      <w:r>
        <w:t>Les élèves complètent leur fiche et se préparent à compléter le tableau de structuration projeté par l’enseignant (</w:t>
      </w:r>
      <w:r w:rsidRPr="009F12F5">
        <w:rPr>
          <w:b/>
        </w:rPr>
        <w:t>Structuration 1.docx</w:t>
      </w:r>
      <w:r>
        <w:t>).  Dans le cas d’une classe équipée de plusieur</w:t>
      </w:r>
      <w:r w:rsidR="00FC2EFB">
        <w:t>s</w:t>
      </w:r>
      <w:r>
        <w:t xml:space="preserve"> ordinateurs ou tablette reliés à un logiciel de partage, les élève</w:t>
      </w:r>
      <w:r w:rsidR="00FC2EFB">
        <w:t>s</w:t>
      </w:r>
      <w:r>
        <w:t xml:space="preserve"> complètent leur partie. Dans le cas classique, chaque rapporteur de groupe investi le tableau pour y annoter ses commentaires.</w:t>
      </w:r>
    </w:p>
    <w:p w14:paraId="22C9610B" w14:textId="7CC4D0A2" w:rsidR="0088178E" w:rsidRDefault="003361B7" w:rsidP="009F12F5">
      <w:pPr>
        <w:pStyle w:val="Titre1"/>
      </w:pPr>
      <w:r>
        <w:t xml:space="preserve">La </w:t>
      </w:r>
      <w:r w:rsidR="009F12F5">
        <w:t>première structuration</w:t>
      </w:r>
      <w:r w:rsidR="007438F9">
        <w:t xml:space="preserve"> (</w:t>
      </w:r>
      <w:r w:rsidR="002043D0">
        <w:t>1</w:t>
      </w:r>
      <w:r w:rsidR="007438F9">
        <w:t>5 minutes</w:t>
      </w:r>
      <w:r w:rsidR="002043D0">
        <w:t xml:space="preserve"> après le début</w:t>
      </w:r>
      <w:r w:rsidR="007438F9">
        <w:t>)</w:t>
      </w:r>
    </w:p>
    <w:p w14:paraId="7072C184" w14:textId="77777777" w:rsidR="0088178E" w:rsidRDefault="0088178E" w:rsidP="0088178E"/>
    <w:p w14:paraId="698D00CC" w14:textId="537447AF" w:rsidR="002043D0" w:rsidRDefault="002043D0" w:rsidP="0088178E">
      <w:r>
        <w:t xml:space="preserve">Le tableau de structuration est complété (ou partiellement) par les représentants de chaque groupe. On ne retrouve pas tous les éléments de questionnement présents sur la fiche. Ainsi, </w:t>
      </w:r>
      <w:r w:rsidR="00772810">
        <w:t>on aborde :</w:t>
      </w:r>
    </w:p>
    <w:p w14:paraId="2EEED9FE" w14:textId="0A640ECD" w:rsidR="00772810" w:rsidRPr="00772810" w:rsidRDefault="00772810" w:rsidP="00772810">
      <w:pPr>
        <w:pStyle w:val="Paragraphedeliste"/>
        <w:numPr>
          <w:ilvl w:val="0"/>
          <w:numId w:val="32"/>
        </w:numPr>
        <w:rPr>
          <w:rFonts w:eastAsiaTheme="minorEastAsia"/>
        </w:rPr>
      </w:pPr>
      <w:r>
        <w:t xml:space="preserve">un élément, qui est à priori) un prérequis permettant de confondre la fréquence et la probabilité d’un événement à la condition que la taille soit suffisante (ici N= 1518 soit </w:t>
      </w:r>
      <m:oMath>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N</m:t>
                </m:r>
              </m:e>
            </m:rad>
          </m:den>
        </m:f>
        <m:r>
          <w:rPr>
            <w:rFonts w:ascii="Cambria Math" w:hAnsi="Cambria Math"/>
          </w:rPr>
          <m:t>≈2</m:t>
        </m:r>
        <w:proofErr w:type="gramStart"/>
        <m:r>
          <w:rPr>
            <w:rFonts w:ascii="Cambria Math" w:hAnsi="Cambria Math"/>
          </w:rPr>
          <m:t>,6</m:t>
        </m:r>
        <w:proofErr w:type="gramEnd"/>
        <m:r>
          <w:rPr>
            <w:rFonts w:ascii="Cambria Math" w:hAnsi="Cambria Math"/>
          </w:rPr>
          <m:t xml:space="preserve"> × </m:t>
        </m:r>
        <m:sSup>
          <m:sSupPr>
            <m:ctrlPr>
              <w:rPr>
                <w:rFonts w:ascii="Cambria Math" w:hAnsi="Cambria Math"/>
                <w:i/>
              </w:rPr>
            </m:ctrlPr>
          </m:sSupPr>
          <m:e>
            <m:r>
              <w:rPr>
                <w:rFonts w:ascii="Cambria Math" w:hAnsi="Cambria Math"/>
              </w:rPr>
              <m:t>10</m:t>
            </m:r>
          </m:e>
          <m:sup>
            <m:r>
              <w:rPr>
                <w:rFonts w:ascii="Cambria Math" w:hAnsi="Cambria Math"/>
              </w:rPr>
              <m:t>-2</m:t>
            </m:r>
          </m:sup>
        </m:sSup>
      </m:oMath>
      <w:r w:rsidRPr="00772810">
        <w:rPr>
          <w:rFonts w:eastAsiaTheme="minorEastAsia"/>
        </w:rPr>
        <w:t xml:space="preserve"> ) </w:t>
      </w:r>
    </w:p>
    <w:p w14:paraId="3B98840C" w14:textId="7B83909A" w:rsidR="00772810" w:rsidRPr="00772810" w:rsidRDefault="00772810" w:rsidP="00772810">
      <w:pPr>
        <w:pStyle w:val="Paragraphedeliste"/>
        <w:numPr>
          <w:ilvl w:val="0"/>
          <w:numId w:val="32"/>
        </w:numPr>
        <w:rPr>
          <w:rFonts w:eastAsiaTheme="minorEastAsia"/>
        </w:rPr>
      </w:pPr>
      <w:r w:rsidRPr="00772810">
        <w:rPr>
          <w:rFonts w:eastAsiaTheme="minorEastAsia"/>
        </w:rPr>
        <w:t>le calcul de la probabilité de deux événements non disjoints par la formule effectif sur effectif total.</w:t>
      </w:r>
    </w:p>
    <w:p w14:paraId="04D138C5" w14:textId="016B4BD6" w:rsidR="00772810" w:rsidRPr="00F847B1" w:rsidRDefault="00772810" w:rsidP="0088178E">
      <w:pPr>
        <w:pStyle w:val="Paragraphedeliste"/>
        <w:numPr>
          <w:ilvl w:val="0"/>
          <w:numId w:val="32"/>
        </w:numPr>
        <w:rPr>
          <w:rFonts w:eastAsiaTheme="minorEastAsia"/>
        </w:rPr>
      </w:pPr>
      <w:r w:rsidRPr="00772810">
        <w:rPr>
          <w:rFonts w:eastAsiaTheme="minorEastAsia"/>
        </w:rPr>
        <w:t>Une réponse à la problématique à priori.</w:t>
      </w:r>
    </w:p>
    <w:p w14:paraId="4358B19A" w14:textId="7ECE8987" w:rsidR="00772810" w:rsidRDefault="00772810" w:rsidP="0088178E">
      <w:pPr>
        <w:rPr>
          <w:rFonts w:eastAsiaTheme="minorEastAsia"/>
        </w:rPr>
      </w:pPr>
      <w:r>
        <w:rPr>
          <w:rFonts w:eastAsiaTheme="minorEastAsia"/>
        </w:rPr>
        <w:t>L’enseignant au cours de cette étape fait le choix d’un ou deux groupes pour illustrer le cas d’Ahmed sous la forme d’un diagramme. Cet élément préfigure la suite de la séance. En effet, il est judicieux d’utiliser une représentation ensembliste pour répondre à la problématique.</w:t>
      </w:r>
    </w:p>
    <w:p w14:paraId="4C9AAC31" w14:textId="0C490040" w:rsidR="0045554C" w:rsidRPr="00F847B1" w:rsidRDefault="00F847B1" w:rsidP="00F847B1">
      <w:pPr>
        <w:rPr>
          <w:rFonts w:eastAsiaTheme="minorEastAsia"/>
        </w:rPr>
      </w:pPr>
      <w:r>
        <w:rPr>
          <w:rFonts w:eastAsiaTheme="minorEastAsia"/>
        </w:rPr>
        <w:t>Il n’indique pas à ce stade si l’une ou l’autre des représentations est correcte, il précise simplement que cet outil sera pertinent pour la suite.</w:t>
      </w:r>
    </w:p>
    <w:p w14:paraId="7F44CEA8" w14:textId="238B5DB6" w:rsidR="003B6DCB" w:rsidRDefault="006C4474" w:rsidP="008D0651">
      <w:pPr>
        <w:pStyle w:val="Titre1"/>
      </w:pPr>
      <w:r>
        <w:t>Phase 2 </w:t>
      </w:r>
      <w:r w:rsidR="003B6DCB">
        <w:t>:</w:t>
      </w:r>
      <w:r w:rsidR="003B6DCB" w:rsidRPr="005B6565">
        <w:t xml:space="preserve"> Travail</w:t>
      </w:r>
      <w:r w:rsidR="007670E5" w:rsidRPr="005B6565">
        <w:t xml:space="preserve"> </w:t>
      </w:r>
      <w:r w:rsidR="00E857EA">
        <w:t>de groupes</w:t>
      </w:r>
      <w:r w:rsidR="003B6DCB">
        <w:t xml:space="preserve"> </w:t>
      </w:r>
      <w:r w:rsidR="007438F9">
        <w:t>(</w:t>
      </w:r>
      <w:r w:rsidR="00772810">
        <w:t>10</w:t>
      </w:r>
      <w:r w:rsidR="007438F9">
        <w:t xml:space="preserve"> minutes</w:t>
      </w:r>
      <w:r w:rsidR="00772810">
        <w:t xml:space="preserve"> après la fin de la structuration 1</w:t>
      </w:r>
      <w:r w:rsidR="007438F9">
        <w:t>)</w:t>
      </w:r>
    </w:p>
    <w:p w14:paraId="25125073" w14:textId="77777777" w:rsidR="00F847B1" w:rsidRDefault="00F847B1" w:rsidP="00F847B1"/>
    <w:p w14:paraId="060CA032" w14:textId="4C7A5423" w:rsidR="0045554C" w:rsidRDefault="00772810" w:rsidP="00F847B1">
      <w:r>
        <w:t>L’enseigna</w:t>
      </w:r>
      <w:r w:rsidR="00F847B1">
        <w:t>nt distribue la fiche de travail 2 à l’ensemble des élèves toujours répartis par groupes. Il circule, ensuite, pour réguler leur travail et lever les incompréhensions.</w:t>
      </w:r>
    </w:p>
    <w:p w14:paraId="0BFAB210" w14:textId="20830E7D" w:rsidR="00F847B1" w:rsidRDefault="00F847B1" w:rsidP="00F847B1">
      <w:r>
        <w:t>Les calculs de probabilités sont des calculs de fréquence à partir des données initiales.</w:t>
      </w:r>
    </w:p>
    <w:p w14:paraId="5ECF8855" w14:textId="7449337D" w:rsidR="00F847B1" w:rsidRDefault="00F847B1" w:rsidP="00F847B1">
      <w:r w:rsidRPr="00F847B1">
        <w:rPr>
          <w:b/>
        </w:rPr>
        <w:t>A l’issue de cette phase</w:t>
      </w:r>
      <w:r>
        <w:t>, chaque groupe peut faire une estimation de la probabilité de l’union des deux événements non disjoints.</w:t>
      </w:r>
    </w:p>
    <w:p w14:paraId="085769B5" w14:textId="77777777" w:rsidR="0045554C" w:rsidRDefault="0045554C" w:rsidP="000422C5">
      <w:pPr>
        <w:pStyle w:val="Titre1"/>
      </w:pPr>
    </w:p>
    <w:p w14:paraId="2CB25246" w14:textId="2584D508" w:rsidR="000422C5" w:rsidRDefault="000422C5" w:rsidP="000422C5">
      <w:pPr>
        <w:pStyle w:val="Titre1"/>
      </w:pPr>
      <w:r>
        <w:t xml:space="preserve">Collecte des travaux </w:t>
      </w:r>
      <w:r w:rsidR="00B1283C">
        <w:t>/</w:t>
      </w:r>
      <w:r w:rsidR="00D3608A">
        <w:t>a</w:t>
      </w:r>
      <w:r>
        <w:t>nalyse collective</w:t>
      </w:r>
      <w:r w:rsidR="007438F9">
        <w:t xml:space="preserve"> </w:t>
      </w:r>
      <w:r w:rsidR="00F847B1">
        <w:t>(10 minutes après la fin de la phase 2)</w:t>
      </w:r>
    </w:p>
    <w:p w14:paraId="500B0911" w14:textId="77777777" w:rsidR="000422C5" w:rsidRDefault="000422C5" w:rsidP="000422C5"/>
    <w:p w14:paraId="2A517E97" w14:textId="21C20690" w:rsidR="00F847B1" w:rsidRDefault="00F847B1" w:rsidP="000422C5">
      <w:r>
        <w:t>L’enseignant collecte les probabilités trouvées par chaque groupe et organise le débat autour de ces valeurs.</w:t>
      </w:r>
    </w:p>
    <w:p w14:paraId="2C0DA00E" w14:textId="62BE8D20" w:rsidR="00F847B1" w:rsidRDefault="00F847B1" w:rsidP="000422C5">
      <w:r>
        <w:t xml:space="preserve">Il insiste sur la nécessité de ne pas compter deux fois l’effectif de l’intersection </w:t>
      </w:r>
      <w:r w:rsidR="00940F62">
        <w:t>des deux événements.</w:t>
      </w:r>
    </w:p>
    <w:p w14:paraId="4338E80E" w14:textId="7B994FCD" w:rsidR="00940F62" w:rsidRDefault="00940F62" w:rsidP="000422C5">
      <w:r>
        <w:t>En outre, il invite les élèves à se questionner sur la validité d’une telle démarche. L’idée générale demeure que ces calculs seraient valables mathématiquement si fréquence et probabilité étaient identiques. Ceci serait vrai uniquement dans le cas où l’intervalle de confiance serait de largeur nulle.</w:t>
      </w:r>
    </w:p>
    <w:p w14:paraId="6F06E5CE" w14:textId="1A8FFA25" w:rsidR="0045554C" w:rsidRDefault="00940F62" w:rsidP="00940F62">
      <w:r>
        <w:t>Ainsi, il est naturel de simuler au tableur ces événements pour conforter la formule de la probabilité de l’union.</w:t>
      </w:r>
    </w:p>
    <w:p w14:paraId="6CFAE2F9" w14:textId="3A1D8BFB" w:rsidR="00927581" w:rsidRDefault="00927581" w:rsidP="00933993">
      <w:pPr>
        <w:pStyle w:val="Titre1"/>
      </w:pPr>
      <w:r w:rsidRPr="005830D6">
        <w:t xml:space="preserve">Phase </w:t>
      </w:r>
      <w:r w:rsidR="00940F62">
        <w:t>3</w:t>
      </w:r>
      <w:r w:rsidRPr="005830D6">
        <w:t xml:space="preserve"> : </w:t>
      </w:r>
      <w:r w:rsidR="00940F62">
        <w:t>Simulation sur tableur</w:t>
      </w:r>
      <w:r w:rsidR="007438F9">
        <w:t xml:space="preserve"> (10 minutes)</w:t>
      </w:r>
    </w:p>
    <w:p w14:paraId="769663A5" w14:textId="039D7CCC" w:rsidR="00AA1AD8" w:rsidRDefault="00940F62" w:rsidP="00DD3773">
      <w:pPr>
        <w:pStyle w:val="Titre1"/>
        <w:rPr>
          <w:rFonts w:asciiTheme="minorHAnsi" w:eastAsiaTheme="minorHAnsi" w:hAnsiTheme="minorHAnsi" w:cstheme="minorBidi"/>
          <w:b w:val="0"/>
          <w:bCs w:val="0"/>
          <w:color w:val="auto"/>
          <w:sz w:val="22"/>
          <w:szCs w:val="22"/>
        </w:rPr>
      </w:pPr>
      <w:r>
        <w:rPr>
          <w:rFonts w:asciiTheme="minorHAnsi" w:eastAsiaTheme="minorHAnsi" w:hAnsiTheme="minorHAnsi" w:cstheme="minorBidi"/>
          <w:b w:val="0"/>
          <w:bCs w:val="0"/>
          <w:color w:val="auto"/>
          <w:sz w:val="22"/>
          <w:szCs w:val="22"/>
        </w:rPr>
        <w:t xml:space="preserve">Cette simulation débute par la distribution de la fiche de travail n°3 et </w:t>
      </w:r>
      <w:r w:rsidR="008014C3">
        <w:rPr>
          <w:rFonts w:asciiTheme="minorHAnsi" w:eastAsiaTheme="minorHAnsi" w:hAnsiTheme="minorHAnsi" w:cstheme="minorBidi"/>
          <w:b w:val="0"/>
          <w:bCs w:val="0"/>
          <w:color w:val="auto"/>
          <w:sz w:val="22"/>
          <w:szCs w:val="22"/>
        </w:rPr>
        <w:t xml:space="preserve">le fichier de travail </w:t>
      </w:r>
      <w:r w:rsidR="008014C3" w:rsidRPr="008014C3">
        <w:rPr>
          <w:rFonts w:asciiTheme="minorHAnsi" w:eastAsiaTheme="minorHAnsi" w:hAnsiTheme="minorHAnsi" w:cstheme="minorBidi"/>
          <w:bCs w:val="0"/>
          <w:color w:val="auto"/>
          <w:sz w:val="22"/>
          <w:szCs w:val="22"/>
        </w:rPr>
        <w:t>TMS.xls</w:t>
      </w:r>
      <w:r w:rsidR="008014C3">
        <w:rPr>
          <w:rFonts w:asciiTheme="minorHAnsi" w:eastAsiaTheme="minorHAnsi" w:hAnsiTheme="minorHAnsi" w:cstheme="minorBidi"/>
          <w:b w:val="0"/>
          <w:bCs w:val="0"/>
          <w:color w:val="auto"/>
          <w:sz w:val="22"/>
          <w:szCs w:val="22"/>
        </w:rPr>
        <w:t xml:space="preserve"> sur l’environnement numérique des élèves. Ils sont regroupés par 2 et le travail demandé est assez guidé au début de l’activité.</w:t>
      </w:r>
    </w:p>
    <w:p w14:paraId="5E6EBB1D" w14:textId="2022C4EA" w:rsidR="008014C3" w:rsidRDefault="008014C3" w:rsidP="008014C3">
      <w:pPr>
        <w:spacing w:line="276" w:lineRule="auto"/>
        <w:ind w:left="360"/>
        <w:rPr>
          <w:rFonts w:ascii="Lucida Grande" w:hAnsi="Lucida Grande" w:cs="Lucida Grande"/>
          <w:color w:val="000000"/>
          <w:sz w:val="20"/>
          <w:szCs w:val="20"/>
        </w:rPr>
      </w:pPr>
      <w:r>
        <w:t xml:space="preserve">Ainsi, il leur est demandé à l’aide la formule </w:t>
      </w:r>
      <w:r w:rsidRPr="008014C3">
        <w:rPr>
          <w:rFonts w:ascii="Lucida Grande" w:hAnsi="Lucida Grande" w:cs="Lucida Grande"/>
          <w:color w:val="000000"/>
        </w:rPr>
        <w:t>=</w:t>
      </w:r>
      <w:proofErr w:type="gramStart"/>
      <w:r w:rsidRPr="008014C3">
        <w:rPr>
          <w:rFonts w:ascii="Lucida Grande" w:hAnsi="Lucida Grande" w:cs="Lucida Grande"/>
          <w:color w:val="000000"/>
        </w:rPr>
        <w:t>ENT(</w:t>
      </w:r>
      <w:proofErr w:type="gramEnd"/>
      <w:r w:rsidRPr="008014C3">
        <w:rPr>
          <w:rFonts w:ascii="Lucida Grande" w:hAnsi="Lucida Grande" w:cs="Lucida Grande"/>
          <w:color w:val="000000"/>
        </w:rPr>
        <w:t>ALEA</w:t>
      </w:r>
      <w:r w:rsidRPr="008014C3">
        <w:rPr>
          <w:rFonts w:ascii="Lucida Grande" w:hAnsi="Lucida Grande" w:cs="Lucida Grande"/>
          <w:color w:val="005109"/>
        </w:rPr>
        <w:t>()</w:t>
      </w:r>
      <w:r w:rsidRPr="008014C3">
        <w:rPr>
          <w:rFonts w:ascii="Lucida Grande" w:hAnsi="Lucida Grande" w:cs="Lucida Grande"/>
          <w:color w:val="000000"/>
        </w:rPr>
        <w:t>+</w:t>
      </w:r>
      <w:r w:rsidRPr="008014C3">
        <w:rPr>
          <w:rFonts w:ascii="Lucida Grande" w:hAnsi="Lucida Grande" w:cs="Lucida Grande"/>
          <w:color w:val="003ECC"/>
        </w:rPr>
        <w:t>$B$2</w:t>
      </w:r>
      <w:r w:rsidRPr="008014C3">
        <w:rPr>
          <w:rFonts w:ascii="Lucida Grande" w:hAnsi="Lucida Grande" w:cs="Lucida Grande"/>
          <w:color w:val="000000"/>
        </w:rPr>
        <w:t>)</w:t>
      </w:r>
      <w:r>
        <w:rPr>
          <w:rFonts w:ascii="Lucida Grande" w:hAnsi="Lucida Grande" w:cs="Lucida Grande"/>
          <w:color w:val="000000"/>
        </w:rPr>
        <w:t xml:space="preserve"> </w:t>
      </w:r>
      <w:r w:rsidRPr="008014C3">
        <w:rPr>
          <w:rFonts w:ascii="Lucida Grande" w:hAnsi="Lucida Grande" w:cs="Lucida Grande"/>
          <w:color w:val="000000"/>
          <w:sz w:val="20"/>
          <w:szCs w:val="20"/>
        </w:rPr>
        <w:t>de simuler le fait qu’un des 1518 ait un TMS du poignet</w:t>
      </w:r>
      <w:r>
        <w:rPr>
          <w:rFonts w:ascii="Lucida Grande" w:hAnsi="Lucida Grande" w:cs="Lucida Grande"/>
          <w:color w:val="000000"/>
          <w:sz w:val="20"/>
          <w:szCs w:val="20"/>
        </w:rPr>
        <w:t>.</w:t>
      </w:r>
    </w:p>
    <w:p w14:paraId="70E8F8C8" w14:textId="2DDA345A" w:rsidR="008014C3" w:rsidRDefault="008014C3" w:rsidP="008014C3">
      <w:pPr>
        <w:spacing w:line="276" w:lineRule="auto"/>
        <w:rPr>
          <w:rFonts w:ascii="Lucida Grande" w:hAnsi="Lucida Grande" w:cs="Lucida Grande"/>
          <w:color w:val="000000"/>
          <w:sz w:val="20"/>
          <w:szCs w:val="20"/>
        </w:rPr>
      </w:pPr>
      <w:r>
        <w:rPr>
          <w:rFonts w:ascii="Lucida Grande" w:hAnsi="Lucida Grande" w:cs="Lucida Grande"/>
          <w:color w:val="000000"/>
          <w:sz w:val="20"/>
          <w:szCs w:val="20"/>
        </w:rPr>
        <w:t>La suite est un réinvestissement pour les événements TMS épaule et TMS épaule et poignet. Les élèves de terminale ne devraient pas rencontrer de difficulté à ce stade : ces habiletés ont, à priori, été abordées sur les deux classes précédentes.</w:t>
      </w:r>
    </w:p>
    <w:p w14:paraId="27172F5F" w14:textId="77777777" w:rsidR="008014C3" w:rsidRDefault="008014C3" w:rsidP="008014C3">
      <w:pPr>
        <w:spacing w:line="276" w:lineRule="auto"/>
        <w:rPr>
          <w:rFonts w:ascii="Lucida Grande" w:hAnsi="Lucida Grande" w:cs="Lucida Grande"/>
          <w:color w:val="000000"/>
          <w:sz w:val="20"/>
          <w:szCs w:val="20"/>
        </w:rPr>
      </w:pPr>
    </w:p>
    <w:p w14:paraId="3F811EB6" w14:textId="2C7A3DAD" w:rsidR="008014C3" w:rsidRDefault="008014C3" w:rsidP="008014C3">
      <w:pPr>
        <w:spacing w:line="276" w:lineRule="auto"/>
        <w:rPr>
          <w:rFonts w:ascii="Lucida Grande" w:hAnsi="Lucida Grande" w:cs="Lucida Grande"/>
          <w:color w:val="000000"/>
          <w:sz w:val="20"/>
          <w:szCs w:val="20"/>
        </w:rPr>
      </w:pPr>
      <w:r>
        <w:rPr>
          <w:rFonts w:ascii="Lucida Grande" w:hAnsi="Lucida Grande" w:cs="Lucida Grande"/>
          <w:color w:val="000000"/>
          <w:sz w:val="20"/>
          <w:szCs w:val="20"/>
        </w:rPr>
        <w:t>La dernière question reprend la stratégie de calcul de la probabilité de l’union déjà vue à l’étape précédente.</w:t>
      </w:r>
    </w:p>
    <w:p w14:paraId="40773726" w14:textId="0176685F" w:rsidR="00AA1AD8" w:rsidRPr="008014C3" w:rsidRDefault="008014C3" w:rsidP="008014C3">
      <w:pPr>
        <w:spacing w:line="276" w:lineRule="auto"/>
        <w:rPr>
          <w:rFonts w:ascii="Lucida Grande" w:hAnsi="Lucida Grande" w:cs="Lucida Grande"/>
          <w:color w:val="000000"/>
          <w:sz w:val="20"/>
          <w:szCs w:val="20"/>
        </w:rPr>
      </w:pPr>
      <w:r>
        <w:rPr>
          <w:rFonts w:ascii="Lucida Grande" w:hAnsi="Lucida Grande" w:cs="Lucida Grande"/>
          <w:color w:val="000000"/>
          <w:sz w:val="20"/>
          <w:szCs w:val="20"/>
        </w:rPr>
        <w:t xml:space="preserve">L’enseignant reprend la main en fin de séance avec le fichier </w:t>
      </w:r>
      <w:r w:rsidRPr="008014C3">
        <w:rPr>
          <w:rFonts w:ascii="Lucida Grande" w:hAnsi="Lucida Grande" w:cs="Lucida Grande"/>
          <w:b/>
          <w:color w:val="000000"/>
          <w:sz w:val="20"/>
          <w:szCs w:val="20"/>
        </w:rPr>
        <w:t>TMS Prof.xls</w:t>
      </w:r>
      <w:r>
        <w:rPr>
          <w:rFonts w:ascii="Lucida Grande" w:hAnsi="Lucida Grande" w:cs="Lucida Grande"/>
          <w:color w:val="000000"/>
          <w:sz w:val="20"/>
          <w:szCs w:val="20"/>
        </w:rPr>
        <w:t xml:space="preserve"> pour conforter les travaux des élèves.</w:t>
      </w:r>
    </w:p>
    <w:p w14:paraId="4B91A60A" w14:textId="016F4905" w:rsidR="00365A05" w:rsidRDefault="008014C3" w:rsidP="00DD3773">
      <w:pPr>
        <w:pStyle w:val="Titre1"/>
      </w:pPr>
      <w:r>
        <w:t>Synthèse :</w:t>
      </w:r>
    </w:p>
    <w:p w14:paraId="2550EB68" w14:textId="77777777" w:rsidR="008014C3" w:rsidRDefault="008014C3" w:rsidP="008014C3"/>
    <w:p w14:paraId="2C63BD2A" w14:textId="24F0B015" w:rsidR="008014C3" w:rsidRDefault="008014C3" w:rsidP="008014C3">
      <w:r>
        <w:t>Une synthèse possible pour clôturer cette séance serait :</w:t>
      </w:r>
    </w:p>
    <w:p w14:paraId="72DC3E6C" w14:textId="5CF6308E" w:rsidR="00935F3A" w:rsidRDefault="00935F3A" w:rsidP="008014C3">
      <w:r>
        <w:t xml:space="preserve">«  Soient deux événements A et </w:t>
      </w:r>
      <w:proofErr w:type="gramStart"/>
      <w:r>
        <w:t>B .</w:t>
      </w:r>
      <w:proofErr w:type="gramEnd"/>
    </w:p>
    <w:p w14:paraId="0809B8A3" w14:textId="15899E75" w:rsidR="00935F3A" w:rsidRDefault="0067064E" w:rsidP="008014C3">
      <w:r>
        <w:t>O</w:t>
      </w:r>
      <w:r w:rsidR="00935F3A">
        <w:t xml:space="preserve">n appelle </w:t>
      </w:r>
      <w:proofErr w:type="gramStart"/>
      <w:r w:rsidR="00935F3A">
        <w:t>p(</w:t>
      </w:r>
      <w:proofErr w:type="gramEnd"/>
      <w:r w:rsidR="00935F3A">
        <w:t>A) la probabilité de l’événement A  (« cas favorables à A »)</w:t>
      </w:r>
      <w:r>
        <w:t xml:space="preserve"> ; </w:t>
      </w:r>
      <w:r w:rsidR="00935F3A">
        <w:t>de même P(B) désigne la probabilité de l’événement B.</w:t>
      </w:r>
    </w:p>
    <w:p w14:paraId="11D5D36E" w14:textId="353EB6B6" w:rsidR="0067064E" w:rsidRPr="0067064E" w:rsidRDefault="0067064E" w:rsidP="0067064E">
      <w:pPr>
        <w:pStyle w:val="Paragraphedeliste"/>
        <w:numPr>
          <w:ilvl w:val="0"/>
          <w:numId w:val="34"/>
        </w:numPr>
        <w:rPr>
          <w:rFonts w:eastAsiaTheme="minorEastAsia"/>
        </w:rPr>
      </w:pPr>
      <w:r>
        <w:t xml:space="preserve">l’événement contraire à A </w:t>
      </w:r>
      <w:proofErr w:type="spellStart"/>
      <w:r>
        <w:t>a</w:t>
      </w:r>
      <w:proofErr w:type="spellEnd"/>
      <w:r>
        <w:t xml:space="preserve"> une probabilité </w:t>
      </w:r>
      <m:oMath>
        <m:r>
          <w:rPr>
            <w:rFonts w:ascii="Cambria Math" w:hAnsi="Cambria Math"/>
          </w:rPr>
          <m:t>p</m:t>
        </m:r>
        <m:d>
          <m:dPr>
            <m:ctrlPr>
              <w:rPr>
                <w:rFonts w:ascii="Cambria Math" w:hAnsi="Cambria Math"/>
                <w:i/>
              </w:rPr>
            </m:ctrlPr>
          </m:dPr>
          <m:e>
            <m:acc>
              <m:accPr>
                <m:chr m:val="̅"/>
                <m:ctrlPr>
                  <w:rPr>
                    <w:rFonts w:ascii="Cambria Math" w:hAnsi="Cambria Math"/>
                    <w:i/>
                  </w:rPr>
                </m:ctrlPr>
              </m:accPr>
              <m:e>
                <m:r>
                  <w:rPr>
                    <w:rFonts w:ascii="Cambria Math" w:hAnsi="Cambria Math"/>
                  </w:rPr>
                  <m:t>A</m:t>
                </m:r>
              </m:e>
            </m:acc>
          </m:e>
        </m:d>
        <m:r>
          <w:rPr>
            <w:rFonts w:ascii="Cambria Math" w:hAnsi="Cambria Math"/>
          </w:rPr>
          <m:t>=</m:t>
        </m:r>
        <w:proofErr w:type="gramStart"/>
        <m:r>
          <w:rPr>
            <w:rFonts w:ascii="Cambria Math" w:hAnsi="Cambria Math"/>
          </w:rPr>
          <m:t>1-p(</m:t>
        </m:r>
        <w:proofErr w:type="gramEnd"/>
        <m:r>
          <w:rPr>
            <w:rFonts w:ascii="Cambria Math" w:hAnsi="Cambria Math"/>
          </w:rPr>
          <m:t>A)</m:t>
        </m:r>
      </m:oMath>
    </w:p>
    <w:p w14:paraId="6E0614C9" w14:textId="6B37AA14" w:rsidR="0067064E" w:rsidRPr="0067064E" w:rsidRDefault="0067064E" w:rsidP="0067064E">
      <w:pPr>
        <w:pStyle w:val="Paragraphedeliste"/>
        <w:numPr>
          <w:ilvl w:val="0"/>
          <w:numId w:val="34"/>
        </w:numPr>
        <w:rPr>
          <w:rFonts w:eastAsiaTheme="minorEastAsia"/>
        </w:rPr>
      </w:pPr>
      <w:r w:rsidRPr="0067064E">
        <w:rPr>
          <w:rFonts w:eastAsiaTheme="minorEastAsia"/>
        </w:rPr>
        <w:t xml:space="preserve">l’événement favorable à A et B se note </w:t>
      </w:r>
      <m:oMath>
        <m:r>
          <w:rPr>
            <w:rFonts w:ascii="Cambria Math" w:eastAsiaTheme="minorEastAsia" w:hAnsi="Cambria Math"/>
          </w:rPr>
          <m:t>A∩B</m:t>
        </m:r>
      </m:oMath>
      <w:r w:rsidRPr="0067064E">
        <w:rPr>
          <w:rFonts w:eastAsiaTheme="minorEastAsia"/>
        </w:rPr>
        <w:t xml:space="preserve"> et sa probabilité dénombre tous les cas favorables à A et à B</w:t>
      </w:r>
    </w:p>
    <w:p w14:paraId="1F2BB7D2" w14:textId="0DEF13F0" w:rsidR="0067064E" w:rsidRDefault="0067064E" w:rsidP="0067064E">
      <w:pPr>
        <w:pStyle w:val="Paragraphedeliste"/>
        <w:numPr>
          <w:ilvl w:val="0"/>
          <w:numId w:val="34"/>
        </w:numPr>
      </w:pPr>
      <w:r w:rsidRPr="0067064E">
        <w:rPr>
          <w:rFonts w:eastAsiaTheme="minorEastAsia"/>
        </w:rPr>
        <w:t xml:space="preserve">l’événement favorable à A ou à B se note </w:t>
      </w:r>
      <m:oMath>
        <m:r>
          <w:rPr>
            <w:rFonts w:ascii="Cambria Math" w:eastAsiaTheme="minorEastAsia" w:hAnsi="Cambria Math"/>
          </w:rPr>
          <m:t>A∪B</m:t>
        </m:r>
      </m:oMath>
      <w:r w:rsidRPr="0067064E">
        <w:rPr>
          <w:rFonts w:eastAsiaTheme="minorEastAsia"/>
        </w:rPr>
        <w:t xml:space="preserve"> est probabilité vaut : </w:t>
      </w:r>
      <m:oMath>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A∪B</m:t>
            </m:r>
          </m:e>
        </m:d>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A</m:t>
            </m:r>
          </m:e>
        </m:d>
        <m:r>
          <w:rPr>
            <w:rFonts w:ascii="Cambria Math" w:eastAsiaTheme="minorEastAsia" w:hAnsi="Cambria Math"/>
          </w:rPr>
          <m:t>+p</m:t>
        </m:r>
        <m:d>
          <m:dPr>
            <m:ctrlPr>
              <w:rPr>
                <w:rFonts w:ascii="Cambria Math" w:eastAsiaTheme="minorEastAsia" w:hAnsi="Cambria Math"/>
                <w:i/>
              </w:rPr>
            </m:ctrlPr>
          </m:dPr>
          <m:e>
            <m:r>
              <w:rPr>
                <w:rFonts w:ascii="Cambria Math" w:eastAsiaTheme="minorEastAsia" w:hAnsi="Cambria Math"/>
              </w:rPr>
              <m:t>B</m:t>
            </m:r>
          </m:e>
        </m:d>
        <w:proofErr w:type="gramStart"/>
        <m:r>
          <w:rPr>
            <w:rFonts w:ascii="Cambria Math" w:eastAsiaTheme="minorEastAsia" w:hAnsi="Cambria Math"/>
          </w:rPr>
          <m:t>-p(</m:t>
        </m:r>
        <w:proofErr w:type="gramEnd"/>
        <m:r>
          <w:rPr>
            <w:rFonts w:ascii="Cambria Math" w:eastAsiaTheme="minorEastAsia" w:hAnsi="Cambria Math"/>
          </w:rPr>
          <m:t>A∩B)</m:t>
        </m:r>
      </m:oMath>
    </w:p>
    <w:p w14:paraId="4EB62E2D" w14:textId="77777777" w:rsidR="008014C3" w:rsidRPr="008014C3" w:rsidRDefault="008014C3" w:rsidP="008014C3"/>
    <w:p w14:paraId="2D9B9EC8" w14:textId="3212EA29" w:rsidR="00792D5B" w:rsidRDefault="00262E86" w:rsidP="00792D5B">
      <w:proofErr w:type="gramStart"/>
      <w:r>
        <w:t>on</w:t>
      </w:r>
      <w:proofErr w:type="gramEnd"/>
      <w:r>
        <w:t xml:space="preserve"> fait noter le diagramme  de </w:t>
      </w:r>
      <w:proofErr w:type="spellStart"/>
      <w:r>
        <w:t>Venn</w:t>
      </w:r>
      <w:proofErr w:type="spellEnd"/>
      <w:r>
        <w:t xml:space="preserve"> suivant :</w:t>
      </w:r>
    </w:p>
    <w:p w14:paraId="245A8AE1" w14:textId="388B8825" w:rsidR="00571C86" w:rsidRDefault="00571C86" w:rsidP="00365A05"/>
    <w:p w14:paraId="5BF2B706" w14:textId="1C628BE2" w:rsidR="00AA1AD8" w:rsidRDefault="00262E86" w:rsidP="00365A05">
      <w:bookmarkStart w:id="0" w:name="_GoBack"/>
      <w:r>
        <w:rPr>
          <w:noProof/>
          <w:lang w:eastAsia="fr-FR"/>
        </w:rPr>
        <w:lastRenderedPageBreak/>
        <w:drawing>
          <wp:inline distT="0" distB="0" distL="0" distR="0" wp14:anchorId="0B9D154D" wp14:editId="2446E74B">
            <wp:extent cx="5867400" cy="33528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3-05-20 à 17.57.17.png"/>
                    <pic:cNvPicPr/>
                  </pic:nvPicPr>
                  <pic:blipFill>
                    <a:blip r:embed="rId9">
                      <a:extLst>
                        <a:ext uri="{28A0092B-C50C-407E-A947-70E740481C1C}">
                          <a14:useLocalDpi xmlns:a14="http://schemas.microsoft.com/office/drawing/2010/main" val="0"/>
                        </a:ext>
                      </a:extLst>
                    </a:blip>
                    <a:stretch>
                      <a:fillRect/>
                    </a:stretch>
                  </pic:blipFill>
                  <pic:spPr>
                    <a:xfrm>
                      <a:off x="0" y="0"/>
                      <a:ext cx="5867400" cy="3352800"/>
                    </a:xfrm>
                    <a:prstGeom prst="rect">
                      <a:avLst/>
                    </a:prstGeom>
                  </pic:spPr>
                </pic:pic>
              </a:graphicData>
            </a:graphic>
          </wp:inline>
        </w:drawing>
      </w:r>
      <w:bookmarkEnd w:id="0"/>
    </w:p>
    <w:p w14:paraId="09645B3E" w14:textId="77777777" w:rsidR="00AA1AD8" w:rsidRDefault="00AA1AD8" w:rsidP="00365A05"/>
    <w:p w14:paraId="6A0D08E0" w14:textId="3D5CF43F" w:rsidR="00AA1AD8" w:rsidRPr="00365A05" w:rsidRDefault="00AA1AD8" w:rsidP="00365A05">
      <w:pPr>
        <w:rPr>
          <w:iCs/>
        </w:rPr>
      </w:pPr>
    </w:p>
    <w:sectPr w:rsidR="00AA1AD8" w:rsidRPr="00365A05" w:rsidSect="00D052FF">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Math">
    <w:panose1 w:val="02040503050406030204"/>
    <w:charset w:val="00"/>
    <w:family w:val="auto"/>
    <w:pitch w:val="variable"/>
    <w:sig w:usb0="E00002FF" w:usb1="420024FF" w:usb2="00000000" w:usb3="00000000" w:csb0="0000019F" w:csb1="00000000"/>
  </w:font>
  <w:font w:name="Lucida Grande">
    <w:panose1 w:val="020B0600040502020204"/>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97F0CC6"/>
    <w:multiLevelType w:val="hybridMultilevel"/>
    <w:tmpl w:val="650621A6"/>
    <w:lvl w:ilvl="0" w:tplc="ACE4529A">
      <w:start w:val="2"/>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0AB151E9"/>
    <w:multiLevelType w:val="hybridMultilevel"/>
    <w:tmpl w:val="2D06C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EF28CD"/>
    <w:multiLevelType w:val="hybridMultilevel"/>
    <w:tmpl w:val="133894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DE01BB"/>
    <w:multiLevelType w:val="hybridMultilevel"/>
    <w:tmpl w:val="057819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2A6E83"/>
    <w:multiLevelType w:val="hybridMultilevel"/>
    <w:tmpl w:val="C75CB426"/>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1EF0C5E"/>
    <w:multiLevelType w:val="hybridMultilevel"/>
    <w:tmpl w:val="3EF8384C"/>
    <w:lvl w:ilvl="0" w:tplc="E2CEA5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07205C"/>
    <w:multiLevelType w:val="hybridMultilevel"/>
    <w:tmpl w:val="51D60FF0"/>
    <w:lvl w:ilvl="0" w:tplc="56489A5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FD24FB2"/>
    <w:multiLevelType w:val="hybridMultilevel"/>
    <w:tmpl w:val="00EA5528"/>
    <w:lvl w:ilvl="0" w:tplc="040C0003">
      <w:start w:val="1"/>
      <w:numFmt w:val="bullet"/>
      <w:lvlText w:val="o"/>
      <w:lvlJc w:val="left"/>
      <w:pPr>
        <w:ind w:left="720" w:hanging="360"/>
      </w:pPr>
      <w:rPr>
        <w:rFonts w:ascii="Courier New" w:hAnsi="Courier New" w:cs="Courier New" w:hint="default"/>
      </w:rPr>
    </w:lvl>
    <w:lvl w:ilvl="1" w:tplc="040C000D">
      <w:start w:val="1"/>
      <w:numFmt w:val="bullet"/>
      <w:lvlText w:val=""/>
      <w:lvlJc w:val="left"/>
      <w:pPr>
        <w:ind w:left="1353"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1276BED"/>
    <w:multiLevelType w:val="hybridMultilevel"/>
    <w:tmpl w:val="7254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2C14D07"/>
    <w:multiLevelType w:val="hybridMultilevel"/>
    <w:tmpl w:val="7D2C795A"/>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33D65C8E"/>
    <w:multiLevelType w:val="hybridMultilevel"/>
    <w:tmpl w:val="071067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005505"/>
    <w:multiLevelType w:val="hybridMultilevel"/>
    <w:tmpl w:val="C33EA340"/>
    <w:lvl w:ilvl="0" w:tplc="93AE227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6341553"/>
    <w:multiLevelType w:val="multilevel"/>
    <w:tmpl w:val="DCAC2E2A"/>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heme="minorHAnsi" w:hAnsi="Times New Roman"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9F052D"/>
    <w:multiLevelType w:val="hybridMultilevel"/>
    <w:tmpl w:val="E3466EC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D0B0309"/>
    <w:multiLevelType w:val="hybridMultilevel"/>
    <w:tmpl w:val="19229C32"/>
    <w:lvl w:ilvl="0" w:tplc="4F0028D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D593D4E"/>
    <w:multiLevelType w:val="hybridMultilevel"/>
    <w:tmpl w:val="40A6B5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09C6BBC"/>
    <w:multiLevelType w:val="hybridMultilevel"/>
    <w:tmpl w:val="D0DC3F0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3177A21"/>
    <w:multiLevelType w:val="multilevel"/>
    <w:tmpl w:val="E8A0D32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8">
    <w:nsid w:val="433332E3"/>
    <w:multiLevelType w:val="hybridMultilevel"/>
    <w:tmpl w:val="E15AC1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3B70032"/>
    <w:multiLevelType w:val="hybridMultilevel"/>
    <w:tmpl w:val="543CF108"/>
    <w:lvl w:ilvl="0" w:tplc="BED8DD8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8EB23DC"/>
    <w:multiLevelType w:val="hybridMultilevel"/>
    <w:tmpl w:val="DF9E5D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CA0563D"/>
    <w:multiLevelType w:val="hybridMultilevel"/>
    <w:tmpl w:val="5EA2D2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DBD1D6C"/>
    <w:multiLevelType w:val="multilevel"/>
    <w:tmpl w:val="E24C3B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F40175C"/>
    <w:multiLevelType w:val="hybridMultilevel"/>
    <w:tmpl w:val="057819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52252BD7"/>
    <w:multiLevelType w:val="hybridMultilevel"/>
    <w:tmpl w:val="462A31B2"/>
    <w:lvl w:ilvl="0" w:tplc="48B263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5813C4"/>
    <w:multiLevelType w:val="hybridMultilevel"/>
    <w:tmpl w:val="102E2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B8F55B0"/>
    <w:multiLevelType w:val="hybridMultilevel"/>
    <w:tmpl w:val="28489EC4"/>
    <w:lvl w:ilvl="0" w:tplc="48B263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53449BD"/>
    <w:multiLevelType w:val="hybridMultilevel"/>
    <w:tmpl w:val="12882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58A3A40"/>
    <w:multiLevelType w:val="hybridMultilevel"/>
    <w:tmpl w:val="64AA6C6A"/>
    <w:lvl w:ilvl="0" w:tplc="41B89338">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68FC5229"/>
    <w:multiLevelType w:val="hybridMultilevel"/>
    <w:tmpl w:val="7ABAB45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EDB0C9C"/>
    <w:multiLevelType w:val="hybridMultilevel"/>
    <w:tmpl w:val="C7D23F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FBD6A2C"/>
    <w:multiLevelType w:val="hybridMultilevel"/>
    <w:tmpl w:val="ED78AF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C192771"/>
    <w:multiLevelType w:val="hybridMultilevel"/>
    <w:tmpl w:val="0578195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7E060B3C"/>
    <w:multiLevelType w:val="hybridMultilevel"/>
    <w:tmpl w:val="3F2272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14"/>
  </w:num>
  <w:num w:numId="4">
    <w:abstractNumId w:val="29"/>
  </w:num>
  <w:num w:numId="5">
    <w:abstractNumId w:val="12"/>
  </w:num>
  <w:num w:numId="6">
    <w:abstractNumId w:val="22"/>
  </w:num>
  <w:num w:numId="7">
    <w:abstractNumId w:val="15"/>
  </w:num>
  <w:num w:numId="8">
    <w:abstractNumId w:val="9"/>
  </w:num>
  <w:num w:numId="9">
    <w:abstractNumId w:val="4"/>
  </w:num>
  <w:num w:numId="10">
    <w:abstractNumId w:val="31"/>
  </w:num>
  <w:num w:numId="11">
    <w:abstractNumId w:val="16"/>
  </w:num>
  <w:num w:numId="12">
    <w:abstractNumId w:val="7"/>
  </w:num>
  <w:num w:numId="13">
    <w:abstractNumId w:val="17"/>
  </w:num>
  <w:num w:numId="14">
    <w:abstractNumId w:val="33"/>
  </w:num>
  <w:num w:numId="15">
    <w:abstractNumId w:val="6"/>
  </w:num>
  <w:num w:numId="16">
    <w:abstractNumId w:val="23"/>
  </w:num>
  <w:num w:numId="17">
    <w:abstractNumId w:val="0"/>
  </w:num>
  <w:num w:numId="18">
    <w:abstractNumId w:val="3"/>
  </w:num>
  <w:num w:numId="19">
    <w:abstractNumId w:val="25"/>
  </w:num>
  <w:num w:numId="20">
    <w:abstractNumId w:val="5"/>
  </w:num>
  <w:num w:numId="21">
    <w:abstractNumId w:val="28"/>
  </w:num>
  <w:num w:numId="22">
    <w:abstractNumId w:val="32"/>
  </w:num>
  <w:num w:numId="23">
    <w:abstractNumId w:val="1"/>
  </w:num>
  <w:num w:numId="24">
    <w:abstractNumId w:val="21"/>
  </w:num>
  <w:num w:numId="25">
    <w:abstractNumId w:val="30"/>
  </w:num>
  <w:num w:numId="26">
    <w:abstractNumId w:val="2"/>
  </w:num>
  <w:num w:numId="27">
    <w:abstractNumId w:val="18"/>
  </w:num>
  <w:num w:numId="28">
    <w:abstractNumId w:val="27"/>
  </w:num>
  <w:num w:numId="29">
    <w:abstractNumId w:val="13"/>
  </w:num>
  <w:num w:numId="30">
    <w:abstractNumId w:val="20"/>
  </w:num>
  <w:num w:numId="31">
    <w:abstractNumId w:val="10"/>
  </w:num>
  <w:num w:numId="32">
    <w:abstractNumId w:val="24"/>
  </w:num>
  <w:num w:numId="33">
    <w:abstractNumId w:val="8"/>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5C2E81"/>
    <w:rsid w:val="00020790"/>
    <w:rsid w:val="000422C5"/>
    <w:rsid w:val="000760A9"/>
    <w:rsid w:val="0008353C"/>
    <w:rsid w:val="00084063"/>
    <w:rsid w:val="000A2034"/>
    <w:rsid w:val="000D2308"/>
    <w:rsid w:val="000D6895"/>
    <w:rsid w:val="000E57B8"/>
    <w:rsid w:val="00105053"/>
    <w:rsid w:val="0011269A"/>
    <w:rsid w:val="00192F80"/>
    <w:rsid w:val="002043D0"/>
    <w:rsid w:val="00211533"/>
    <w:rsid w:val="002433D2"/>
    <w:rsid w:val="00257054"/>
    <w:rsid w:val="00262E86"/>
    <w:rsid w:val="00297451"/>
    <w:rsid w:val="002B4FC3"/>
    <w:rsid w:val="002D263B"/>
    <w:rsid w:val="002D4A40"/>
    <w:rsid w:val="002E1468"/>
    <w:rsid w:val="002F09EC"/>
    <w:rsid w:val="00303F81"/>
    <w:rsid w:val="00311BD1"/>
    <w:rsid w:val="00312587"/>
    <w:rsid w:val="0033201D"/>
    <w:rsid w:val="003345DC"/>
    <w:rsid w:val="003361B7"/>
    <w:rsid w:val="00365A05"/>
    <w:rsid w:val="00372B32"/>
    <w:rsid w:val="00381273"/>
    <w:rsid w:val="003B6DCB"/>
    <w:rsid w:val="003C758C"/>
    <w:rsid w:val="00401726"/>
    <w:rsid w:val="004139D1"/>
    <w:rsid w:val="00420B33"/>
    <w:rsid w:val="00422511"/>
    <w:rsid w:val="0045554C"/>
    <w:rsid w:val="004A26B7"/>
    <w:rsid w:val="004B3011"/>
    <w:rsid w:val="004B6AF8"/>
    <w:rsid w:val="004C1166"/>
    <w:rsid w:val="00552F81"/>
    <w:rsid w:val="00561F6B"/>
    <w:rsid w:val="00571C86"/>
    <w:rsid w:val="005830D6"/>
    <w:rsid w:val="00596D7C"/>
    <w:rsid w:val="005B44E3"/>
    <w:rsid w:val="005B6565"/>
    <w:rsid w:val="005C2E81"/>
    <w:rsid w:val="005F5837"/>
    <w:rsid w:val="00607F7A"/>
    <w:rsid w:val="00656046"/>
    <w:rsid w:val="0065776C"/>
    <w:rsid w:val="00662019"/>
    <w:rsid w:val="0067064E"/>
    <w:rsid w:val="00680DE2"/>
    <w:rsid w:val="006873F3"/>
    <w:rsid w:val="006C4474"/>
    <w:rsid w:val="006C7F5A"/>
    <w:rsid w:val="006D6112"/>
    <w:rsid w:val="007109CB"/>
    <w:rsid w:val="00743105"/>
    <w:rsid w:val="007438F9"/>
    <w:rsid w:val="007670E5"/>
    <w:rsid w:val="00772810"/>
    <w:rsid w:val="00792C3E"/>
    <w:rsid w:val="00792D5B"/>
    <w:rsid w:val="007C275B"/>
    <w:rsid w:val="007F58C0"/>
    <w:rsid w:val="008014C3"/>
    <w:rsid w:val="00832080"/>
    <w:rsid w:val="00836618"/>
    <w:rsid w:val="008455D5"/>
    <w:rsid w:val="00847F53"/>
    <w:rsid w:val="00857BBC"/>
    <w:rsid w:val="0088178E"/>
    <w:rsid w:val="00881D3A"/>
    <w:rsid w:val="00886D1C"/>
    <w:rsid w:val="00887DFE"/>
    <w:rsid w:val="008917EF"/>
    <w:rsid w:val="008D0651"/>
    <w:rsid w:val="008D174D"/>
    <w:rsid w:val="008E3332"/>
    <w:rsid w:val="008E4729"/>
    <w:rsid w:val="008E6DC4"/>
    <w:rsid w:val="00910124"/>
    <w:rsid w:val="0091500A"/>
    <w:rsid w:val="00927581"/>
    <w:rsid w:val="00933993"/>
    <w:rsid w:val="00935F3A"/>
    <w:rsid w:val="00940F62"/>
    <w:rsid w:val="00950DAD"/>
    <w:rsid w:val="00981524"/>
    <w:rsid w:val="009855F1"/>
    <w:rsid w:val="009D06C5"/>
    <w:rsid w:val="009E42F9"/>
    <w:rsid w:val="009F12F5"/>
    <w:rsid w:val="00A4285A"/>
    <w:rsid w:val="00A63C60"/>
    <w:rsid w:val="00A805DB"/>
    <w:rsid w:val="00A90B5D"/>
    <w:rsid w:val="00AA1AD8"/>
    <w:rsid w:val="00AC1295"/>
    <w:rsid w:val="00AF08C7"/>
    <w:rsid w:val="00AF3568"/>
    <w:rsid w:val="00AF6D5F"/>
    <w:rsid w:val="00AF7906"/>
    <w:rsid w:val="00B1283C"/>
    <w:rsid w:val="00B257C0"/>
    <w:rsid w:val="00B33BEF"/>
    <w:rsid w:val="00B450DF"/>
    <w:rsid w:val="00B514F7"/>
    <w:rsid w:val="00B62A76"/>
    <w:rsid w:val="00B9279C"/>
    <w:rsid w:val="00BA3D3E"/>
    <w:rsid w:val="00BB4C2A"/>
    <w:rsid w:val="00BB73BD"/>
    <w:rsid w:val="00C0416C"/>
    <w:rsid w:val="00C26446"/>
    <w:rsid w:val="00C31670"/>
    <w:rsid w:val="00C63766"/>
    <w:rsid w:val="00C902D5"/>
    <w:rsid w:val="00CA1C20"/>
    <w:rsid w:val="00CC0592"/>
    <w:rsid w:val="00CD6CC7"/>
    <w:rsid w:val="00CE3D90"/>
    <w:rsid w:val="00CE505B"/>
    <w:rsid w:val="00CE7B18"/>
    <w:rsid w:val="00CF1BCC"/>
    <w:rsid w:val="00D052FF"/>
    <w:rsid w:val="00D11AEB"/>
    <w:rsid w:val="00D2288E"/>
    <w:rsid w:val="00D24A50"/>
    <w:rsid w:val="00D3608A"/>
    <w:rsid w:val="00D93F5A"/>
    <w:rsid w:val="00DA7373"/>
    <w:rsid w:val="00DB7F9B"/>
    <w:rsid w:val="00DD3773"/>
    <w:rsid w:val="00E00B2B"/>
    <w:rsid w:val="00E243EC"/>
    <w:rsid w:val="00E42623"/>
    <w:rsid w:val="00E73C13"/>
    <w:rsid w:val="00E75117"/>
    <w:rsid w:val="00E75779"/>
    <w:rsid w:val="00E857EA"/>
    <w:rsid w:val="00E92256"/>
    <w:rsid w:val="00EE42C7"/>
    <w:rsid w:val="00EF16E7"/>
    <w:rsid w:val="00EF1E39"/>
    <w:rsid w:val="00F05C1B"/>
    <w:rsid w:val="00F352B3"/>
    <w:rsid w:val="00F63B83"/>
    <w:rsid w:val="00F847B1"/>
    <w:rsid w:val="00F91281"/>
    <w:rsid w:val="00FC2EFB"/>
    <w:rsid w:val="00FF661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3ACEA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533"/>
  </w:style>
  <w:style w:type="paragraph" w:styleId="Titre1">
    <w:name w:val="heading 1"/>
    <w:basedOn w:val="Normal"/>
    <w:next w:val="Normal"/>
    <w:link w:val="Titre1Car"/>
    <w:uiPriority w:val="9"/>
    <w:qFormat/>
    <w:rsid w:val="00E922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050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0422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pip">
    <w:name w:val="spip"/>
    <w:basedOn w:val="Normal"/>
    <w:rsid w:val="005C2E81"/>
    <w:pPr>
      <w:spacing w:before="100" w:beforeAutospacing="1" w:after="100" w:afterAutospacing="1"/>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C2E81"/>
    <w:rPr>
      <w:b/>
      <w:bCs/>
    </w:rPr>
  </w:style>
  <w:style w:type="character" w:styleId="Lienhypertexte">
    <w:name w:val="Hyperlink"/>
    <w:basedOn w:val="Policepardfaut"/>
    <w:uiPriority w:val="99"/>
    <w:unhideWhenUsed/>
    <w:rsid w:val="005C2E81"/>
    <w:rPr>
      <w:color w:val="0000FF" w:themeColor="hyperlink"/>
      <w:u w:val="single"/>
    </w:rPr>
  </w:style>
  <w:style w:type="paragraph" w:styleId="Paragraphedeliste">
    <w:name w:val="List Paragraph"/>
    <w:basedOn w:val="Normal"/>
    <w:uiPriority w:val="34"/>
    <w:qFormat/>
    <w:rsid w:val="00E92256"/>
    <w:pPr>
      <w:ind w:left="720"/>
      <w:contextualSpacing/>
    </w:pPr>
  </w:style>
  <w:style w:type="character" w:customStyle="1" w:styleId="Titre1Car">
    <w:name w:val="Titre 1 Car"/>
    <w:basedOn w:val="Policepardfaut"/>
    <w:link w:val="Titre1"/>
    <w:uiPriority w:val="9"/>
    <w:rsid w:val="00E92256"/>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65604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56046"/>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105053"/>
    <w:rPr>
      <w:rFonts w:asciiTheme="majorHAnsi" w:eastAsiaTheme="majorEastAsia" w:hAnsiTheme="majorHAnsi" w:cstheme="majorBidi"/>
      <w:b/>
      <w:bCs/>
      <w:color w:val="4F81BD" w:themeColor="accent1"/>
      <w:sz w:val="26"/>
      <w:szCs w:val="26"/>
    </w:rPr>
  </w:style>
  <w:style w:type="paragraph" w:styleId="Sansinterligne">
    <w:name w:val="No Spacing"/>
    <w:uiPriority w:val="1"/>
    <w:qFormat/>
    <w:rsid w:val="00CD6CC7"/>
    <w:pPr>
      <w:spacing w:after="0"/>
    </w:pPr>
  </w:style>
  <w:style w:type="paragraph" w:styleId="NormalWeb">
    <w:name w:val="Normal (Web)"/>
    <w:basedOn w:val="Normal"/>
    <w:uiPriority w:val="99"/>
    <w:unhideWhenUsed/>
    <w:rsid w:val="00297451"/>
    <w:pPr>
      <w:spacing w:before="100" w:beforeAutospacing="1" w:after="119"/>
    </w:pPr>
    <w:rPr>
      <w:rFonts w:ascii="Times New Roman" w:eastAsia="Times New Roman" w:hAnsi="Times New Roman" w:cs="Times New Roman"/>
      <w:sz w:val="24"/>
      <w:szCs w:val="24"/>
      <w:lang w:eastAsia="fr-FR"/>
    </w:rPr>
  </w:style>
  <w:style w:type="table" w:styleId="Grille">
    <w:name w:val="Table Grid"/>
    <w:basedOn w:val="TableauNormal"/>
    <w:uiPriority w:val="59"/>
    <w:rsid w:val="00A805DB"/>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3Car">
    <w:name w:val="Titre 3 Car"/>
    <w:basedOn w:val="Policepardfaut"/>
    <w:link w:val="Titre3"/>
    <w:uiPriority w:val="9"/>
    <w:semiHidden/>
    <w:rsid w:val="000422C5"/>
    <w:rPr>
      <w:rFonts w:asciiTheme="majorHAnsi" w:eastAsiaTheme="majorEastAsia" w:hAnsiTheme="majorHAnsi" w:cstheme="majorBidi"/>
      <w:b/>
      <w:bCs/>
      <w:color w:val="4F81BD" w:themeColor="accent1"/>
    </w:rPr>
  </w:style>
  <w:style w:type="paragraph" w:styleId="Textedebulles">
    <w:name w:val="Balloon Text"/>
    <w:basedOn w:val="Normal"/>
    <w:link w:val="TextedebullesCar"/>
    <w:uiPriority w:val="99"/>
    <w:semiHidden/>
    <w:unhideWhenUsed/>
    <w:rsid w:val="00AF08C7"/>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F08C7"/>
    <w:rPr>
      <w:rFonts w:ascii="Tahoma" w:hAnsi="Tahoma" w:cs="Tahoma"/>
      <w:sz w:val="16"/>
      <w:szCs w:val="16"/>
    </w:rPr>
  </w:style>
  <w:style w:type="character" w:styleId="Textedelespacerserv">
    <w:name w:val="Placeholder Text"/>
    <w:basedOn w:val="Policepardfaut"/>
    <w:uiPriority w:val="99"/>
    <w:semiHidden/>
    <w:rsid w:val="00772810"/>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www.dailymotion.com/video/xcs6ox_video-de-sensibilisation-sur-les-tm_news" TargetMode="External"/><Relationship Id="rId9" Type="http://schemas.openxmlformats.org/officeDocument/2006/relationships/image" Target="media/image3.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1291</Words>
  <Characters>7103</Characters>
  <Application>Microsoft Macintosh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8378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Lionel Tigli</dc:creator>
  <cp:lastModifiedBy>Lionel Tigli</cp:lastModifiedBy>
  <cp:revision>8</cp:revision>
  <cp:lastPrinted>2013-04-04T06:32:00Z</cp:lastPrinted>
  <dcterms:created xsi:type="dcterms:W3CDTF">2013-04-04T06:32:00Z</dcterms:created>
  <dcterms:modified xsi:type="dcterms:W3CDTF">2013-05-20T15:57:00Z</dcterms:modified>
</cp:coreProperties>
</file>