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8C" w:rsidRDefault="008F6B8C" w:rsidP="0047340C">
      <w:pPr>
        <w:jc w:val="center"/>
        <w:rPr>
          <w:rFonts w:asciiTheme="minorHAnsi" w:hAnsiTheme="minorHAnsi" w:cstheme="minorHAnsi"/>
          <w:b/>
          <w:color w:val="C00000"/>
          <w:sz w:val="48"/>
          <w:szCs w:val="48"/>
        </w:rPr>
      </w:pPr>
      <w:bookmarkStart w:id="0" w:name="_GoBack"/>
      <w:bookmarkEnd w:id="0"/>
      <w:r>
        <w:rPr>
          <w:rFonts w:asciiTheme="minorHAnsi" w:hAnsiTheme="minorHAnsi" w:cstheme="minorHAnsi"/>
          <w:b/>
          <w:color w:val="C00000"/>
          <w:sz w:val="48"/>
          <w:szCs w:val="48"/>
        </w:rPr>
        <w:t>L’AUTO-SYNTHÈSE À PARTIR</w:t>
      </w:r>
    </w:p>
    <w:p w:rsidR="0047340C" w:rsidRPr="0047340C" w:rsidRDefault="008F6B8C" w:rsidP="0047340C">
      <w:pPr>
        <w:jc w:val="center"/>
        <w:rPr>
          <w:rFonts w:asciiTheme="minorHAnsi" w:hAnsiTheme="minorHAnsi" w:cstheme="minorHAnsi"/>
          <w:b/>
          <w:color w:val="C00000"/>
          <w:sz w:val="48"/>
          <w:szCs w:val="48"/>
        </w:rPr>
      </w:pPr>
      <w:r>
        <w:rPr>
          <w:rFonts w:asciiTheme="minorHAnsi" w:hAnsiTheme="minorHAnsi" w:cstheme="minorHAnsi"/>
          <w:b/>
          <w:color w:val="C00000"/>
          <w:sz w:val="48"/>
          <w:szCs w:val="48"/>
        </w:rPr>
        <w:t>D’IMAGES ET DE TABLEAUX</w:t>
      </w:r>
    </w:p>
    <w:p w:rsidR="0047340C" w:rsidRPr="0047340C" w:rsidRDefault="008F6B8C" w:rsidP="0047340C">
      <w:pPr>
        <w:jc w:val="center"/>
        <w:rPr>
          <w:rFonts w:asciiTheme="minorHAnsi" w:hAnsiTheme="minorHAnsi" w:cstheme="minorHAnsi"/>
          <w:b/>
          <w:color w:val="C00000"/>
          <w:sz w:val="36"/>
          <w:szCs w:val="36"/>
        </w:rPr>
      </w:pPr>
      <w:r>
        <w:rPr>
          <w:rFonts w:asciiTheme="minorHAnsi" w:hAnsiTheme="minorHAnsi" w:cstheme="minorHAnsi"/>
          <w:b/>
          <w:color w:val="C00000"/>
          <w:sz w:val="36"/>
          <w:szCs w:val="36"/>
        </w:rPr>
        <w:t>Les limites du P.I.B.</w:t>
      </w:r>
    </w:p>
    <w:p w:rsidR="0047340C" w:rsidRDefault="0047340C" w:rsidP="0047340C">
      <w:pPr>
        <w:rPr>
          <w:rFonts w:asciiTheme="minorHAnsi" w:hAnsiTheme="minorHAnsi" w:cstheme="minorHAnsi"/>
          <w:b/>
          <w:color w:val="0000FF"/>
          <w:sz w:val="36"/>
          <w:szCs w:val="36"/>
        </w:rPr>
      </w:pPr>
    </w:p>
    <w:p w:rsidR="00100493" w:rsidRPr="008F079F" w:rsidRDefault="008F079F" w:rsidP="008F079F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079F">
        <w:rPr>
          <w:rFonts w:asciiTheme="minorHAnsi" w:hAnsiTheme="minorHAnsi" w:cstheme="minorHAnsi"/>
          <w:b/>
          <w:sz w:val="28"/>
          <w:szCs w:val="28"/>
        </w:rPr>
        <w:t>RESSOURCE 1</w:t>
      </w:r>
    </w:p>
    <w:tbl>
      <w:tblPr>
        <w:tblStyle w:val="Grilledutableau"/>
        <w:tblW w:w="0" w:type="auto"/>
        <w:tblBorders>
          <w:top w:val="single" w:sz="12" w:space="0" w:color="17365D" w:themeColor="text2" w:themeShade="BF"/>
          <w:left w:val="single" w:sz="12" w:space="0" w:color="17365D" w:themeColor="text2" w:themeShade="BF"/>
          <w:bottom w:val="single" w:sz="12" w:space="0" w:color="17365D" w:themeColor="text2" w:themeShade="BF"/>
          <w:right w:val="single" w:sz="12" w:space="0" w:color="17365D" w:themeColor="text2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518"/>
        <w:gridCol w:w="3373"/>
      </w:tblGrid>
      <w:tr w:rsidR="008F6B8C" w:rsidTr="008F079F">
        <w:trPr>
          <w:trHeight w:val="1436"/>
        </w:trPr>
        <w:tc>
          <w:tcPr>
            <w:tcW w:w="3227" w:type="dxa"/>
            <w:shd w:val="clear" w:color="auto" w:fill="E5DFEC" w:themeFill="accent4" w:themeFillTint="33"/>
          </w:tcPr>
          <w:p w:rsidR="008F6B8C" w:rsidRPr="00C2419D" w:rsidRDefault="008F6B8C" w:rsidP="008F079F">
            <w:pPr>
              <w:spacing w:after="120"/>
              <w:jc w:val="center"/>
              <w:rPr>
                <w:b/>
                <w:noProof/>
                <w:sz w:val="10"/>
                <w:szCs w:val="10"/>
              </w:rPr>
            </w:pPr>
          </w:p>
          <w:p w:rsidR="008F6B8C" w:rsidRDefault="008F6B8C" w:rsidP="008F079F">
            <w:pPr>
              <w:spacing w:after="120"/>
              <w:jc w:val="center"/>
              <w:rPr>
                <w:b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 wp14:anchorId="290563E5" wp14:editId="4ED62002">
                  <wp:extent cx="1180532" cy="772286"/>
                  <wp:effectExtent l="0" t="0" r="635" b="889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083" cy="783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8" w:type="dxa"/>
            <w:shd w:val="clear" w:color="auto" w:fill="E5DFEC" w:themeFill="accent4" w:themeFillTint="33"/>
          </w:tcPr>
          <w:p w:rsidR="008F6B8C" w:rsidRPr="00C2419D" w:rsidRDefault="008F6B8C" w:rsidP="008F079F">
            <w:pPr>
              <w:spacing w:after="120"/>
              <w:jc w:val="center"/>
              <w:rPr>
                <w:b/>
                <w:sz w:val="4"/>
                <w:szCs w:val="4"/>
              </w:rPr>
            </w:pPr>
          </w:p>
          <w:p w:rsidR="008F6B8C" w:rsidRDefault="008F6B8C" w:rsidP="008F079F">
            <w:pPr>
              <w:spacing w:after="120"/>
              <w:jc w:val="center"/>
              <w:rPr>
                <w:b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796C213" wp14:editId="3DA0021C">
                  <wp:extent cx="1055352" cy="791570"/>
                  <wp:effectExtent l="0" t="0" r="0" b="889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293" cy="796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3" w:type="dxa"/>
            <w:shd w:val="clear" w:color="auto" w:fill="E5DFEC" w:themeFill="accent4" w:themeFillTint="33"/>
          </w:tcPr>
          <w:p w:rsidR="008F6B8C" w:rsidRPr="00C2419D" w:rsidRDefault="008F6B8C" w:rsidP="008F079F">
            <w:pPr>
              <w:spacing w:after="120"/>
              <w:jc w:val="center"/>
              <w:rPr>
                <w:b/>
                <w:sz w:val="10"/>
                <w:szCs w:val="10"/>
              </w:rPr>
            </w:pPr>
          </w:p>
          <w:p w:rsidR="008F6B8C" w:rsidRDefault="008F6B8C" w:rsidP="008F079F">
            <w:pPr>
              <w:spacing w:after="120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E7DB048" wp14:editId="76E09843">
                  <wp:extent cx="1282889" cy="769732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664" cy="774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6B8C" w:rsidTr="008F079F">
        <w:trPr>
          <w:trHeight w:val="1703"/>
        </w:trPr>
        <w:tc>
          <w:tcPr>
            <w:tcW w:w="3227" w:type="dxa"/>
            <w:shd w:val="clear" w:color="auto" w:fill="E5DFEC" w:themeFill="accent4" w:themeFillTint="33"/>
          </w:tcPr>
          <w:p w:rsidR="008F6B8C" w:rsidRPr="00C2419D" w:rsidRDefault="008F6B8C" w:rsidP="008F079F">
            <w:pPr>
              <w:spacing w:after="120"/>
              <w:jc w:val="center"/>
              <w:rPr>
                <w:b/>
                <w:sz w:val="10"/>
                <w:szCs w:val="10"/>
              </w:rPr>
            </w:pPr>
          </w:p>
          <w:p w:rsidR="008F6B8C" w:rsidRDefault="008F6B8C" w:rsidP="008F079F">
            <w:pPr>
              <w:spacing w:after="120"/>
              <w:jc w:val="center"/>
              <w:rPr>
                <w:b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 wp14:anchorId="213E47F0" wp14:editId="6D5A96EE">
                  <wp:extent cx="1244273" cy="839337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318" cy="85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8" w:type="dxa"/>
            <w:shd w:val="clear" w:color="auto" w:fill="E5DFEC" w:themeFill="accent4" w:themeFillTint="33"/>
          </w:tcPr>
          <w:p w:rsidR="008F6B8C" w:rsidRPr="00C2419D" w:rsidRDefault="008F6B8C" w:rsidP="008F079F">
            <w:pPr>
              <w:spacing w:after="120"/>
              <w:jc w:val="center"/>
              <w:rPr>
                <w:b/>
                <w:noProof/>
                <w:sz w:val="4"/>
                <w:szCs w:val="4"/>
              </w:rPr>
            </w:pPr>
          </w:p>
          <w:p w:rsidR="008F6B8C" w:rsidRDefault="008F6B8C" w:rsidP="008F079F">
            <w:pPr>
              <w:spacing w:after="120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75D1302" wp14:editId="58AF18F4">
                  <wp:extent cx="955343" cy="895293"/>
                  <wp:effectExtent l="0" t="0" r="0" b="635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497" cy="897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3" w:type="dxa"/>
            <w:shd w:val="clear" w:color="auto" w:fill="E5DFEC" w:themeFill="accent4" w:themeFillTint="33"/>
          </w:tcPr>
          <w:p w:rsidR="008F6B8C" w:rsidRPr="00C2419D" w:rsidRDefault="008F6B8C" w:rsidP="008F079F">
            <w:pPr>
              <w:spacing w:after="120"/>
              <w:jc w:val="center"/>
              <w:rPr>
                <w:b/>
                <w:noProof/>
                <w:sz w:val="14"/>
                <w:szCs w:val="14"/>
              </w:rPr>
            </w:pPr>
          </w:p>
          <w:p w:rsidR="008F6B8C" w:rsidRDefault="008F6B8C" w:rsidP="008F079F">
            <w:pPr>
              <w:spacing w:after="120"/>
              <w:jc w:val="center"/>
              <w:rPr>
                <w:b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 wp14:anchorId="505D31B0" wp14:editId="2248201B">
                  <wp:extent cx="748554" cy="777923"/>
                  <wp:effectExtent l="0" t="0" r="0" b="317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739" cy="779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0493" w:rsidRDefault="00100493" w:rsidP="00100493">
      <w:pPr>
        <w:jc w:val="center"/>
        <w:rPr>
          <w:rFonts w:asciiTheme="minorHAnsi" w:hAnsiTheme="minorHAnsi" w:cstheme="minorHAnsi"/>
          <w:b/>
        </w:rPr>
      </w:pPr>
    </w:p>
    <w:p w:rsidR="00141DA0" w:rsidRPr="008F6B8C" w:rsidRDefault="00765299" w:rsidP="008F6B8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F6B8C">
        <w:rPr>
          <w:rFonts w:asciiTheme="minorHAnsi" w:hAnsiTheme="minorHAnsi" w:cstheme="minorHAnsi"/>
          <w:b/>
          <w:sz w:val="22"/>
          <w:szCs w:val="22"/>
        </w:rPr>
        <w:t>Pour chacune des activités présentées ci-des</w:t>
      </w:r>
      <w:r w:rsidR="00ED55C2" w:rsidRPr="008F6B8C">
        <w:rPr>
          <w:rFonts w:asciiTheme="minorHAnsi" w:hAnsiTheme="minorHAnsi" w:cstheme="minorHAnsi"/>
          <w:b/>
          <w:sz w:val="22"/>
          <w:szCs w:val="22"/>
        </w:rPr>
        <w:t xml:space="preserve">sus : 1) </w:t>
      </w:r>
      <w:r w:rsidRPr="008F6B8C">
        <w:rPr>
          <w:rFonts w:asciiTheme="minorHAnsi" w:hAnsiTheme="minorHAnsi" w:cstheme="minorHAnsi"/>
          <w:b/>
          <w:sz w:val="22"/>
          <w:szCs w:val="22"/>
        </w:rPr>
        <w:t>d</w:t>
      </w:r>
      <w:r w:rsidR="00EB47B9" w:rsidRPr="008F6B8C">
        <w:rPr>
          <w:rFonts w:asciiTheme="minorHAnsi" w:hAnsiTheme="minorHAnsi" w:cstheme="minorHAnsi"/>
          <w:b/>
          <w:sz w:val="22"/>
          <w:szCs w:val="22"/>
        </w:rPr>
        <w:t xml:space="preserve">ites </w:t>
      </w:r>
      <w:r w:rsidRPr="008F6B8C">
        <w:rPr>
          <w:rFonts w:asciiTheme="minorHAnsi" w:hAnsiTheme="minorHAnsi" w:cstheme="minorHAnsi"/>
          <w:b/>
          <w:sz w:val="22"/>
          <w:szCs w:val="22"/>
        </w:rPr>
        <w:t>si elle est prise en compte</w:t>
      </w:r>
      <w:r w:rsidR="00EB47B9" w:rsidRPr="008F6B8C">
        <w:rPr>
          <w:rFonts w:asciiTheme="minorHAnsi" w:hAnsiTheme="minorHAnsi" w:cstheme="minorHAnsi"/>
          <w:b/>
          <w:sz w:val="22"/>
          <w:szCs w:val="22"/>
        </w:rPr>
        <w:t xml:space="preserve"> ou non dans le calcul du P.I.B.</w:t>
      </w:r>
      <w:r w:rsidR="00ED55C2" w:rsidRPr="008F6B8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F6B8C">
        <w:rPr>
          <w:rFonts w:asciiTheme="minorHAnsi" w:hAnsiTheme="minorHAnsi" w:cstheme="minorHAnsi"/>
          <w:b/>
          <w:sz w:val="22"/>
          <w:szCs w:val="22"/>
        </w:rPr>
        <w:t>et</w:t>
      </w:r>
      <w:r w:rsidR="00ED55C2" w:rsidRPr="008F6B8C">
        <w:rPr>
          <w:rFonts w:asciiTheme="minorHAnsi" w:hAnsiTheme="minorHAnsi" w:cstheme="minorHAnsi"/>
          <w:b/>
          <w:sz w:val="22"/>
          <w:szCs w:val="22"/>
        </w:rPr>
        <w:t xml:space="preserve"> 2)</w:t>
      </w:r>
      <w:r w:rsidRPr="008F6B8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444C9" w:rsidRPr="008F6B8C">
        <w:rPr>
          <w:rFonts w:asciiTheme="minorHAnsi" w:hAnsiTheme="minorHAnsi" w:cstheme="minorHAnsi"/>
          <w:b/>
          <w:sz w:val="22"/>
          <w:szCs w:val="22"/>
        </w:rPr>
        <w:t xml:space="preserve">précisez quelle </w:t>
      </w:r>
      <w:r w:rsidR="00ED55C2" w:rsidRPr="008F6B8C">
        <w:rPr>
          <w:rFonts w:asciiTheme="minorHAnsi" w:hAnsiTheme="minorHAnsi" w:cstheme="minorHAnsi"/>
          <w:b/>
          <w:sz w:val="22"/>
          <w:szCs w:val="22"/>
        </w:rPr>
        <w:t>limite</w:t>
      </w:r>
      <w:r w:rsidR="008444C9" w:rsidRPr="008F6B8C">
        <w:rPr>
          <w:rFonts w:asciiTheme="minorHAnsi" w:hAnsiTheme="minorHAnsi" w:cstheme="minorHAnsi"/>
          <w:b/>
          <w:sz w:val="22"/>
          <w:szCs w:val="22"/>
        </w:rPr>
        <w:t xml:space="preserve"> du P.I.B. elle permet de mettre en évidence.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09"/>
        <w:gridCol w:w="7392"/>
      </w:tblGrid>
      <w:tr w:rsidR="00765299" w:rsidRPr="008F6B8C" w:rsidTr="008F6B8C">
        <w:trPr>
          <w:trHeight w:val="140"/>
        </w:trPr>
        <w:tc>
          <w:tcPr>
            <w:tcW w:w="1980" w:type="dxa"/>
            <w:vMerge w:val="restart"/>
            <w:vAlign w:val="center"/>
          </w:tcPr>
          <w:p w:rsidR="00765299" w:rsidRPr="008F6B8C" w:rsidRDefault="00765299" w:rsidP="008441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b/>
                <w:sz w:val="22"/>
                <w:szCs w:val="22"/>
              </w:rPr>
              <w:t>ACTIVITÉ</w:t>
            </w:r>
          </w:p>
        </w:tc>
        <w:tc>
          <w:tcPr>
            <w:tcW w:w="8101" w:type="dxa"/>
            <w:gridSpan w:val="2"/>
          </w:tcPr>
          <w:p w:rsidR="00765299" w:rsidRPr="008F6B8C" w:rsidRDefault="00765299" w:rsidP="008441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b/>
                <w:sz w:val="22"/>
                <w:szCs w:val="22"/>
              </w:rPr>
              <w:t>Contribue ou non à l’augmentation du P.I.B. ?</w:t>
            </w:r>
          </w:p>
        </w:tc>
      </w:tr>
      <w:tr w:rsidR="001E3C93" w:rsidRPr="008F6B8C" w:rsidTr="008F6B8C">
        <w:trPr>
          <w:trHeight w:val="192"/>
        </w:trPr>
        <w:tc>
          <w:tcPr>
            <w:tcW w:w="1980" w:type="dxa"/>
            <w:vMerge/>
            <w:vAlign w:val="center"/>
          </w:tcPr>
          <w:p w:rsidR="00765299" w:rsidRPr="008F6B8C" w:rsidRDefault="00765299" w:rsidP="008441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765299" w:rsidRPr="008F6B8C" w:rsidRDefault="001E3C93" w:rsidP="008441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="00765299" w:rsidRPr="008F6B8C">
              <w:rPr>
                <w:rFonts w:asciiTheme="minorHAnsi" w:hAnsiTheme="minorHAnsi" w:cstheme="minorHAnsi"/>
                <w:b/>
                <w:sz w:val="22"/>
                <w:szCs w:val="22"/>
              </w:rPr>
              <w:t>/N</w:t>
            </w:r>
          </w:p>
        </w:tc>
        <w:tc>
          <w:tcPr>
            <w:tcW w:w="7392" w:type="dxa"/>
            <w:vAlign w:val="center"/>
          </w:tcPr>
          <w:p w:rsidR="00765299" w:rsidRPr="008F6B8C" w:rsidRDefault="008444C9" w:rsidP="008441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b/>
                <w:sz w:val="22"/>
                <w:szCs w:val="22"/>
              </w:rPr>
              <w:t>Limite</w:t>
            </w:r>
          </w:p>
        </w:tc>
      </w:tr>
      <w:tr w:rsidR="001E3C93" w:rsidRPr="008F6B8C" w:rsidTr="008F6B8C">
        <w:trPr>
          <w:trHeight w:val="385"/>
        </w:trPr>
        <w:tc>
          <w:tcPr>
            <w:tcW w:w="1980" w:type="dxa"/>
            <w:vAlign w:val="center"/>
          </w:tcPr>
          <w:p w:rsidR="00765299" w:rsidRPr="008F6B8C" w:rsidRDefault="00765299" w:rsidP="00AA4B76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Dépollution</w:t>
            </w:r>
          </w:p>
        </w:tc>
        <w:tc>
          <w:tcPr>
            <w:tcW w:w="709" w:type="dxa"/>
            <w:vAlign w:val="center"/>
          </w:tcPr>
          <w:p w:rsidR="00765299" w:rsidRPr="008F6B8C" w:rsidRDefault="000C1E9D" w:rsidP="008441D6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Oui</w:t>
            </w:r>
          </w:p>
        </w:tc>
        <w:tc>
          <w:tcPr>
            <w:tcW w:w="7392" w:type="dxa"/>
            <w:vAlign w:val="center"/>
          </w:tcPr>
          <w:p w:rsidR="008F6B8C" w:rsidRPr="008F6B8C" w:rsidRDefault="00FA491C" w:rsidP="000C1E9D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Il</w:t>
            </w:r>
            <w:r w:rsidR="000C1E9D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n</w:t>
            </w:r>
            <w:r w:rsidR="008F6B8C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’y a pas création de richesses,</w:t>
            </w:r>
          </w:p>
          <w:p w:rsidR="00765299" w:rsidRPr="008F6B8C" w:rsidRDefault="000C1E9D" w:rsidP="000C1E9D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mais « restauration</w:t>
            </w:r>
            <w:r w:rsidR="00765299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 » </w:t>
            </w: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</w:t>
            </w:r>
            <w:r w:rsidR="00765299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es ressources.</w:t>
            </w:r>
          </w:p>
        </w:tc>
      </w:tr>
      <w:tr w:rsidR="001E3C93" w:rsidRPr="008F6B8C" w:rsidTr="008F6B8C">
        <w:trPr>
          <w:trHeight w:val="385"/>
        </w:trPr>
        <w:tc>
          <w:tcPr>
            <w:tcW w:w="1980" w:type="dxa"/>
            <w:vAlign w:val="center"/>
          </w:tcPr>
          <w:p w:rsidR="00765299" w:rsidRPr="008F6B8C" w:rsidRDefault="000C1E9D" w:rsidP="008F079F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Potager</w:t>
            </w:r>
          </w:p>
        </w:tc>
        <w:tc>
          <w:tcPr>
            <w:tcW w:w="709" w:type="dxa"/>
            <w:vAlign w:val="center"/>
          </w:tcPr>
          <w:p w:rsidR="00765299" w:rsidRPr="008F6B8C" w:rsidRDefault="000C1E9D" w:rsidP="008441D6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Non</w:t>
            </w:r>
          </w:p>
        </w:tc>
        <w:tc>
          <w:tcPr>
            <w:tcW w:w="7392" w:type="dxa"/>
            <w:vAlign w:val="center"/>
          </w:tcPr>
          <w:p w:rsidR="008F6B8C" w:rsidRPr="008F6B8C" w:rsidRDefault="00FA491C" w:rsidP="001E3C93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Les</w:t>
            </w:r>
            <w:r w:rsidR="000C1E9D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fruits </w:t>
            </w: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et légumes </w:t>
            </w:r>
            <w:r w:rsidR="001E3C93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ont autant (voire </w:t>
            </w:r>
            <w:r w:rsidR="008F079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davantage …</w:t>
            </w:r>
            <w:r w:rsidR="001E3C93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) </w:t>
            </w: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de valeur</w:t>
            </w:r>
          </w:p>
          <w:p w:rsidR="00765299" w:rsidRPr="008F6B8C" w:rsidRDefault="001E3C93" w:rsidP="001E3C93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que s’ils avaient été</w:t>
            </w:r>
            <w:r w:rsidR="00FA491C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achetés.</w:t>
            </w:r>
          </w:p>
        </w:tc>
      </w:tr>
      <w:tr w:rsidR="001E3C93" w:rsidRPr="008F6B8C" w:rsidTr="008F6B8C">
        <w:trPr>
          <w:trHeight w:val="385"/>
        </w:trPr>
        <w:tc>
          <w:tcPr>
            <w:tcW w:w="1980" w:type="dxa"/>
            <w:vAlign w:val="center"/>
          </w:tcPr>
          <w:p w:rsidR="00765299" w:rsidRPr="008F6B8C" w:rsidRDefault="00765299" w:rsidP="00AA4B76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Industrie du tabac</w:t>
            </w:r>
          </w:p>
        </w:tc>
        <w:tc>
          <w:tcPr>
            <w:tcW w:w="709" w:type="dxa"/>
            <w:vAlign w:val="center"/>
          </w:tcPr>
          <w:p w:rsidR="00765299" w:rsidRPr="008F6B8C" w:rsidRDefault="000C1E9D" w:rsidP="008441D6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Oui</w:t>
            </w:r>
          </w:p>
        </w:tc>
        <w:tc>
          <w:tcPr>
            <w:tcW w:w="7392" w:type="dxa"/>
            <w:vAlign w:val="center"/>
          </w:tcPr>
          <w:p w:rsidR="008F6B8C" w:rsidRPr="008F6B8C" w:rsidRDefault="001E3C93" w:rsidP="001E3C93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L</w:t>
            </w:r>
            <w:r w:rsidR="00765299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a consommation de tabac nuit à la santé</w:t>
            </w:r>
            <w:r w:rsidR="00FA491C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et n’augmente pas le bien-être</w:t>
            </w:r>
            <w:r w:rsidR="00765299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</w:p>
          <w:p w:rsidR="00765299" w:rsidRPr="008F6B8C" w:rsidRDefault="003609D5" w:rsidP="001E3C93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Au contraire, elle augmente les dépenses de santé.</w:t>
            </w:r>
          </w:p>
        </w:tc>
      </w:tr>
      <w:tr w:rsidR="001E3C93" w:rsidRPr="008F6B8C" w:rsidTr="008F6B8C">
        <w:trPr>
          <w:trHeight w:val="385"/>
        </w:trPr>
        <w:tc>
          <w:tcPr>
            <w:tcW w:w="1980" w:type="dxa"/>
            <w:vAlign w:val="center"/>
          </w:tcPr>
          <w:p w:rsidR="00765299" w:rsidRPr="008F6B8C" w:rsidRDefault="00765299" w:rsidP="00AA4B76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Déforestation</w:t>
            </w:r>
          </w:p>
        </w:tc>
        <w:tc>
          <w:tcPr>
            <w:tcW w:w="709" w:type="dxa"/>
            <w:vAlign w:val="center"/>
          </w:tcPr>
          <w:p w:rsidR="00765299" w:rsidRPr="008F6B8C" w:rsidRDefault="000C1E9D" w:rsidP="008441D6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Oui</w:t>
            </w:r>
          </w:p>
        </w:tc>
        <w:tc>
          <w:tcPr>
            <w:tcW w:w="7392" w:type="dxa"/>
            <w:vAlign w:val="center"/>
          </w:tcPr>
          <w:p w:rsidR="008F6B8C" w:rsidRPr="008F6B8C" w:rsidRDefault="001E3C93" w:rsidP="001E3C93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Les ric</w:t>
            </w:r>
            <w:r w:rsidR="008F6B8C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hesses créées sont surestimées,</w:t>
            </w:r>
          </w:p>
          <w:p w:rsidR="00765299" w:rsidRPr="008F6B8C" w:rsidRDefault="001E3C93" w:rsidP="001E3C93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l</w:t>
            </w:r>
            <w:r w:rsidR="00765299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’activité détrui</w:t>
            </w: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san</w:t>
            </w:r>
            <w:r w:rsidR="00765299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t des ressources</w:t>
            </w: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</w:p>
        </w:tc>
      </w:tr>
      <w:tr w:rsidR="001E3C93" w:rsidRPr="008F6B8C" w:rsidTr="008F6B8C">
        <w:trPr>
          <w:trHeight w:val="385"/>
        </w:trPr>
        <w:tc>
          <w:tcPr>
            <w:tcW w:w="1980" w:type="dxa"/>
            <w:vAlign w:val="center"/>
          </w:tcPr>
          <w:p w:rsidR="00765299" w:rsidRPr="008F6B8C" w:rsidRDefault="00765299" w:rsidP="00AA4B76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Bénévolat</w:t>
            </w:r>
          </w:p>
        </w:tc>
        <w:tc>
          <w:tcPr>
            <w:tcW w:w="709" w:type="dxa"/>
            <w:vAlign w:val="center"/>
          </w:tcPr>
          <w:p w:rsidR="00765299" w:rsidRPr="008F6B8C" w:rsidRDefault="000C1E9D" w:rsidP="008441D6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Non</w:t>
            </w:r>
          </w:p>
        </w:tc>
        <w:tc>
          <w:tcPr>
            <w:tcW w:w="7392" w:type="dxa"/>
            <w:vAlign w:val="center"/>
          </w:tcPr>
          <w:p w:rsidR="008F6B8C" w:rsidRPr="008F6B8C" w:rsidRDefault="00ED30C7" w:rsidP="00AA4B76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Le travail bénévole</w:t>
            </w:r>
          </w:p>
          <w:p w:rsidR="00765299" w:rsidRPr="008F6B8C" w:rsidRDefault="00765299" w:rsidP="00AA4B76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est d’une utilité sociale essentielle.</w:t>
            </w:r>
          </w:p>
        </w:tc>
      </w:tr>
      <w:tr w:rsidR="001E3C93" w:rsidRPr="008F6B8C" w:rsidTr="008F6B8C">
        <w:trPr>
          <w:trHeight w:val="385"/>
        </w:trPr>
        <w:tc>
          <w:tcPr>
            <w:tcW w:w="1980" w:type="dxa"/>
            <w:vAlign w:val="center"/>
          </w:tcPr>
          <w:p w:rsidR="00765299" w:rsidRPr="008F6B8C" w:rsidRDefault="00765299" w:rsidP="00AA4B76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Santé publique</w:t>
            </w:r>
          </w:p>
        </w:tc>
        <w:tc>
          <w:tcPr>
            <w:tcW w:w="709" w:type="dxa"/>
            <w:vAlign w:val="center"/>
          </w:tcPr>
          <w:p w:rsidR="00765299" w:rsidRPr="008F6B8C" w:rsidRDefault="000C1E9D" w:rsidP="008441D6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Oui</w:t>
            </w:r>
          </w:p>
        </w:tc>
        <w:tc>
          <w:tcPr>
            <w:tcW w:w="7392" w:type="dxa"/>
            <w:vAlign w:val="center"/>
          </w:tcPr>
          <w:p w:rsidR="008F6B8C" w:rsidRPr="008F6B8C" w:rsidRDefault="008F6B8C" w:rsidP="00ED30C7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L’activité est sous-estimée</w:t>
            </w:r>
          </w:p>
          <w:p w:rsidR="00765299" w:rsidRPr="008F6B8C" w:rsidRDefault="00ED30C7" w:rsidP="00ED30C7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car </w:t>
            </w:r>
            <w:r w:rsidR="00765299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évaluée au coût de p</w:t>
            </w: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roduction</w:t>
            </w:r>
            <w:r w:rsidR="00765299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</w:p>
        </w:tc>
      </w:tr>
    </w:tbl>
    <w:p w:rsidR="00C2419D" w:rsidRDefault="00C2419D" w:rsidP="00C2419D">
      <w:pPr>
        <w:jc w:val="center"/>
        <w:rPr>
          <w:b/>
        </w:rPr>
      </w:pPr>
    </w:p>
    <w:p w:rsidR="00C2419D" w:rsidRDefault="00C2419D" w:rsidP="00030C85">
      <w:pPr>
        <w:jc w:val="center"/>
        <w:rPr>
          <w:b/>
          <w:sz w:val="20"/>
          <w:szCs w:val="20"/>
        </w:rPr>
      </w:pPr>
    </w:p>
    <w:p w:rsidR="008F6B8C" w:rsidRPr="008F079F" w:rsidRDefault="008F079F" w:rsidP="008F079F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RESSOURCE 2</w:t>
      </w:r>
    </w:p>
    <w:tbl>
      <w:tblPr>
        <w:tblStyle w:val="Grilledutableau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760"/>
        <w:gridCol w:w="1902"/>
        <w:gridCol w:w="2157"/>
        <w:gridCol w:w="761"/>
        <w:gridCol w:w="1903"/>
        <w:gridCol w:w="2157"/>
      </w:tblGrid>
      <w:tr w:rsidR="00030C85" w:rsidRPr="008F6B8C" w:rsidTr="00030C85">
        <w:trPr>
          <w:jc w:val="center"/>
        </w:trPr>
        <w:tc>
          <w:tcPr>
            <w:tcW w:w="680" w:type="dxa"/>
            <w:shd w:val="clear" w:color="auto" w:fill="95B3D7" w:themeFill="accent1" w:themeFillTint="99"/>
            <w:vAlign w:val="center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RANG</w:t>
            </w:r>
          </w:p>
        </w:tc>
        <w:tc>
          <w:tcPr>
            <w:tcW w:w="1701" w:type="dxa"/>
            <w:shd w:val="clear" w:color="auto" w:fill="95B3D7" w:themeFill="accent1" w:themeFillTint="99"/>
            <w:vAlign w:val="center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PAYS</w:t>
            </w:r>
          </w:p>
        </w:tc>
        <w:tc>
          <w:tcPr>
            <w:tcW w:w="1928" w:type="dxa"/>
            <w:shd w:val="clear" w:color="auto" w:fill="95B3D7" w:themeFill="accent1" w:themeFillTint="99"/>
            <w:vAlign w:val="center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P.I.B. par habitant 2010</w:t>
            </w:r>
          </w:p>
        </w:tc>
        <w:tc>
          <w:tcPr>
            <w:tcW w:w="680" w:type="dxa"/>
            <w:shd w:val="clear" w:color="auto" w:fill="95B3D7" w:themeFill="accent1" w:themeFillTint="99"/>
            <w:vAlign w:val="center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RANG</w:t>
            </w:r>
          </w:p>
        </w:tc>
        <w:tc>
          <w:tcPr>
            <w:tcW w:w="1701" w:type="dxa"/>
            <w:shd w:val="clear" w:color="auto" w:fill="95B3D7" w:themeFill="accent1" w:themeFillTint="99"/>
            <w:vAlign w:val="center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PAYS</w:t>
            </w:r>
          </w:p>
        </w:tc>
        <w:tc>
          <w:tcPr>
            <w:tcW w:w="1928" w:type="dxa"/>
            <w:shd w:val="clear" w:color="auto" w:fill="95B3D7" w:themeFill="accent1" w:themeFillTint="99"/>
            <w:vAlign w:val="center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P.I.B. par habitant 2010</w:t>
            </w:r>
          </w:p>
        </w:tc>
      </w:tr>
      <w:tr w:rsidR="00030C85" w:rsidRPr="008F6B8C" w:rsidTr="00030C85">
        <w:trPr>
          <w:jc w:val="center"/>
        </w:trPr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Luxembourg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108 831 $</w:t>
            </w:r>
          </w:p>
        </w:tc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030C85" w:rsidRPr="008F6B8C" w:rsidTr="00030C85">
        <w:trPr>
          <w:jc w:val="center"/>
        </w:trPr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Norvège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84 443 $</w:t>
            </w:r>
          </w:p>
        </w:tc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France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41 018 $</w:t>
            </w:r>
          </w:p>
        </w:tc>
      </w:tr>
      <w:tr w:rsidR="00030C85" w:rsidRPr="008F6B8C" w:rsidTr="00030C85">
        <w:trPr>
          <w:jc w:val="center"/>
        </w:trPr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Qatar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76 167 $</w:t>
            </w:r>
          </w:p>
        </w:tc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030C85" w:rsidRPr="008F6B8C" w:rsidTr="00030C85">
        <w:trPr>
          <w:jc w:val="center"/>
        </w:trPr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Suisse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67 245 $</w:t>
            </w:r>
          </w:p>
        </w:tc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030C85" w:rsidRPr="008F6B8C" w:rsidTr="00030C85">
        <w:trPr>
          <w:jc w:val="center"/>
        </w:trPr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Émirats arabes unis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59 716 $</w:t>
            </w:r>
          </w:p>
        </w:tc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030C85" w:rsidRPr="008F6B8C" w:rsidTr="00030C85">
        <w:trPr>
          <w:jc w:val="center"/>
        </w:trPr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21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Koweït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36 411 $</w:t>
            </w:r>
          </w:p>
        </w:tc>
      </w:tr>
      <w:tr w:rsidR="00030C85" w:rsidRPr="008F6B8C" w:rsidTr="00030C85">
        <w:trPr>
          <w:jc w:val="center"/>
        </w:trPr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030C85" w:rsidRPr="008F6B8C" w:rsidTr="00030C85">
        <w:trPr>
          <w:jc w:val="center"/>
        </w:trPr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030C85" w:rsidRPr="008F6B8C" w:rsidTr="00030C85">
        <w:trPr>
          <w:jc w:val="center"/>
        </w:trPr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Style w:val="nowrap"/>
                <w:rFonts w:asciiTheme="minorHAnsi" w:hAnsiTheme="minorHAnsi" w:cstheme="minorHAnsi"/>
                <w:b/>
                <w:sz w:val="20"/>
                <w:szCs w:val="20"/>
              </w:rPr>
              <w:t>États-Unis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47 283 $</w:t>
            </w:r>
          </w:p>
        </w:tc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030C85" w:rsidRPr="008F6B8C" w:rsidTr="00030C85">
        <w:trPr>
          <w:jc w:val="center"/>
        </w:trPr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Style w:val="nowrap"/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Style w:val="nowrap"/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680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26</w:t>
            </w:r>
          </w:p>
        </w:tc>
        <w:tc>
          <w:tcPr>
            <w:tcW w:w="1701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Brunei</w:t>
            </w:r>
          </w:p>
        </w:tc>
        <w:tc>
          <w:tcPr>
            <w:tcW w:w="1928" w:type="dxa"/>
          </w:tcPr>
          <w:p w:rsidR="00030C85" w:rsidRPr="008F6B8C" w:rsidRDefault="00030C85" w:rsidP="00030C8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6B8C">
              <w:rPr>
                <w:rFonts w:asciiTheme="minorHAnsi" w:hAnsiTheme="minorHAnsi" w:cstheme="minorHAnsi"/>
                <w:b/>
                <w:sz w:val="20"/>
                <w:szCs w:val="20"/>
              </w:rPr>
              <w:t>31 238 $</w:t>
            </w:r>
          </w:p>
        </w:tc>
      </w:tr>
    </w:tbl>
    <w:p w:rsidR="00030C85" w:rsidRPr="008F6B8C" w:rsidRDefault="00030C85" w:rsidP="00030C85">
      <w:pPr>
        <w:ind w:right="197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8F6B8C">
        <w:rPr>
          <w:rFonts w:asciiTheme="minorHAnsi" w:hAnsiTheme="minorHAnsi" w:cstheme="minorHAnsi"/>
          <w:i/>
          <w:sz w:val="20"/>
          <w:szCs w:val="20"/>
        </w:rPr>
        <w:t>Source : F.M.I.</w:t>
      </w:r>
    </w:p>
    <w:p w:rsidR="00C2419D" w:rsidRPr="008F6B8C" w:rsidRDefault="00C2419D" w:rsidP="00030C85">
      <w:pPr>
        <w:rPr>
          <w:rFonts w:asciiTheme="minorHAnsi" w:hAnsiTheme="minorHAnsi" w:cstheme="minorHAnsi"/>
          <w:b/>
          <w:sz w:val="22"/>
          <w:szCs w:val="22"/>
        </w:rPr>
      </w:pPr>
      <w:r w:rsidRPr="008F6B8C">
        <w:rPr>
          <w:rFonts w:asciiTheme="minorHAnsi" w:hAnsiTheme="minorHAnsi" w:cstheme="minorHAnsi"/>
          <w:b/>
          <w:sz w:val="22"/>
          <w:szCs w:val="22"/>
        </w:rPr>
        <w:lastRenderedPageBreak/>
        <w:t>Sur quel critère les pays ci-dessus ont-ils été classés ? En quoi ce critère vous semble-t-il être limité ?</w:t>
      </w:r>
    </w:p>
    <w:tbl>
      <w:tblPr>
        <w:tblW w:w="0" w:type="auto"/>
        <w:jc w:val="center"/>
        <w:tblInd w:w="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4"/>
      </w:tblGrid>
      <w:tr w:rsidR="00C2419D" w:rsidRPr="008F6B8C" w:rsidTr="00F31036">
        <w:trPr>
          <w:trHeight w:val="1144"/>
          <w:jc w:val="center"/>
        </w:trPr>
        <w:tc>
          <w:tcPr>
            <w:tcW w:w="9894" w:type="dxa"/>
            <w:shd w:val="clear" w:color="auto" w:fill="auto"/>
          </w:tcPr>
          <w:p w:rsidR="00C2419D" w:rsidRPr="008F6B8C" w:rsidRDefault="008441D6" w:rsidP="00AA4B76">
            <w:pPr>
              <w:spacing w:before="120" w:line="360" w:lineRule="auto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sz w:val="22"/>
                <w:szCs w:val="22"/>
              </w:rPr>
              <w:t xml:space="preserve">Critère utilisé : </w:t>
            </w:r>
            <w:r w:rsidR="00C2419D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</w:t>
            </w: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.I.B. par tête = </w:t>
            </w:r>
            <w:r w:rsidR="00C2419D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P.I.B. (en $ pour permettre les comparaisons) </w:t>
            </w: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÷</w:t>
            </w:r>
            <w:r w:rsidR="00C2419D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nombre d’habitants.</w:t>
            </w:r>
          </w:p>
          <w:p w:rsidR="00C2419D" w:rsidRPr="008F6B8C" w:rsidRDefault="00C2419D" w:rsidP="008444C9">
            <w:pPr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F6B8C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8441D6" w:rsidRPr="008F6B8C">
              <w:rPr>
                <w:rFonts w:asciiTheme="minorHAnsi" w:hAnsiTheme="minorHAnsi" w:cstheme="minorHAnsi"/>
                <w:sz w:val="22"/>
                <w:szCs w:val="22"/>
              </w:rPr>
              <w:t xml:space="preserve">imite : </w:t>
            </w:r>
            <w:r w:rsidR="008444C9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</w:t>
            </w:r>
            <w:r w:rsidR="008441D6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résence</w:t>
            </w: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de pays </w:t>
            </w:r>
            <w:r w:rsidR="008441D6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comme</w:t>
            </w: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le Qatar, le Brunei, le Koweït et </w:t>
            </w:r>
            <w:r w:rsidR="008441D6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les Émirats arabes unis</w:t>
            </w:r>
            <w:r w:rsidR="008F079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en tête de liste</w:t>
            </w:r>
            <w:r w:rsidR="008444C9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, qui</w:t>
            </w:r>
            <w:r w:rsidR="008441D6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C368CF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montr</w:t>
            </w:r>
            <w:r w:rsidR="008444C9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e</w:t>
            </w: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que </w:t>
            </w:r>
            <w:r w:rsidR="008444C9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le critère</w:t>
            </w:r>
            <w:r w:rsidR="00F939EE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8441D6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(une</w:t>
            </w:r>
            <w:r w:rsidR="00F939EE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moyenne</w:t>
            </w:r>
            <w:r w:rsidR="008441D6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)</w:t>
            </w:r>
            <w:r w:rsidR="00F939EE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ne renseigne en rien sur la répartition des richesses (</w:t>
            </w:r>
            <w:r w:rsidR="00F939EE"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très</w:t>
            </w:r>
            <w:r w:rsidRPr="008F6B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inégalitaire dans ces petits Etats).</w:t>
            </w:r>
          </w:p>
        </w:tc>
      </w:tr>
    </w:tbl>
    <w:p w:rsidR="00255F20" w:rsidRDefault="00255F20" w:rsidP="00141DA0">
      <w:pPr>
        <w:ind w:left="720"/>
        <w:jc w:val="both"/>
      </w:pPr>
    </w:p>
    <w:p w:rsidR="00F31036" w:rsidRPr="00F31036" w:rsidRDefault="00F31036">
      <w:pPr>
        <w:rPr>
          <w:rFonts w:asciiTheme="minorHAnsi" w:hAnsiTheme="minorHAnsi" w:cstheme="minorHAnsi"/>
          <w:b/>
          <w:sz w:val="22"/>
          <w:szCs w:val="22"/>
        </w:rPr>
      </w:pPr>
    </w:p>
    <w:p w:rsidR="00141DA0" w:rsidRPr="00F31036" w:rsidRDefault="00F31036" w:rsidP="008F079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31036">
        <w:rPr>
          <w:rFonts w:asciiTheme="minorHAnsi" w:hAnsiTheme="minorHAnsi" w:cstheme="minorHAnsi"/>
          <w:b/>
          <w:sz w:val="22"/>
          <w:szCs w:val="22"/>
        </w:rPr>
        <w:t xml:space="preserve">À partir de vos analyses précédentes, dites pourquoi le P.I.B. (et </w:t>
      </w:r>
      <w:r w:rsidR="008F079F">
        <w:rPr>
          <w:rFonts w:asciiTheme="minorHAnsi" w:hAnsiTheme="minorHAnsi" w:cstheme="minorHAnsi"/>
          <w:b/>
          <w:sz w:val="22"/>
          <w:szCs w:val="22"/>
        </w:rPr>
        <w:t xml:space="preserve">les </w:t>
      </w:r>
      <w:r w:rsidRPr="00F31036">
        <w:rPr>
          <w:rFonts w:asciiTheme="minorHAnsi" w:hAnsiTheme="minorHAnsi" w:cstheme="minorHAnsi"/>
          <w:b/>
          <w:sz w:val="22"/>
          <w:szCs w:val="22"/>
        </w:rPr>
        <w:t xml:space="preserve">indicateurs </w:t>
      </w:r>
      <w:r w:rsidR="008F079F">
        <w:rPr>
          <w:rFonts w:asciiTheme="minorHAnsi" w:hAnsiTheme="minorHAnsi" w:cstheme="minorHAnsi"/>
          <w:b/>
          <w:sz w:val="22"/>
          <w:szCs w:val="22"/>
        </w:rPr>
        <w:t xml:space="preserve">qui lui sont </w:t>
      </w:r>
      <w:r w:rsidRPr="00F31036">
        <w:rPr>
          <w:rFonts w:asciiTheme="minorHAnsi" w:hAnsiTheme="minorHAnsi" w:cstheme="minorHAnsi"/>
          <w:b/>
          <w:sz w:val="22"/>
          <w:szCs w:val="22"/>
        </w:rPr>
        <w:t>associés : croissance, P.I.B. par tête) n’est pas un bon indicateur de bien-être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8"/>
      </w:tblGrid>
      <w:tr w:rsidR="00141DA0" w:rsidRPr="00F31036" w:rsidTr="00D71557">
        <w:tc>
          <w:tcPr>
            <w:tcW w:w="10118" w:type="dxa"/>
          </w:tcPr>
          <w:p w:rsidR="00D57679" w:rsidRPr="00F31036" w:rsidRDefault="00D57679" w:rsidP="00310519">
            <w:pPr>
              <w:spacing w:before="12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1036">
              <w:rPr>
                <w:rFonts w:asciiTheme="minorHAnsi" w:hAnsiTheme="minorHAnsi" w:cstheme="minorHAnsi"/>
                <w:sz w:val="22"/>
                <w:szCs w:val="22"/>
              </w:rPr>
              <w:t>Le P.I.B. est un indicateur très imparfait du niveau de bien-être d’un pays car :</w:t>
            </w:r>
          </w:p>
          <w:p w:rsidR="004C2AAE" w:rsidRPr="00F31036" w:rsidRDefault="004C2AAE" w:rsidP="00D57679">
            <w:pPr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- Le calcul du P.I.B. exclut des activités génératrices de bien-être (travail domestique, travail bénévole).</w:t>
            </w:r>
          </w:p>
          <w:p w:rsidR="004C2AAE" w:rsidRPr="00F31036" w:rsidRDefault="004C2AAE" w:rsidP="004C2AAE">
            <w:pPr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- </w:t>
            </w:r>
            <w:r w:rsidR="00D96AAF"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Les</w:t>
            </w:r>
            <w:r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activités non marchandes </w:t>
            </w:r>
            <w:r w:rsidR="00575D46"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sont </w:t>
            </w:r>
            <w:r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sous-estimée</w:t>
            </w:r>
            <w:r w:rsidR="00D96AAF"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s</w:t>
            </w:r>
            <w:r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(car évaluées au coût de production, sans prendre en c</w:t>
            </w:r>
            <w:r w:rsidR="008F079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onsidération</w:t>
            </w:r>
            <w:r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un </w:t>
            </w:r>
            <w:r w:rsidR="008F079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probable</w:t>
            </w:r>
            <w:r w:rsidR="00ED3745"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profit comme </w:t>
            </w:r>
            <w:r w:rsidR="00ED3745"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pour</w:t>
            </w:r>
            <w:r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les activités marchandes).</w:t>
            </w:r>
          </w:p>
          <w:p w:rsidR="008F079F" w:rsidRPr="00F31036" w:rsidRDefault="004C2AAE" w:rsidP="00E05525">
            <w:pPr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- </w:t>
            </w:r>
            <w:r w:rsidR="00ED3745"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L’évaluation monétaire des richesses conduit à considérer que </w:t>
            </w:r>
            <w:r w:rsidR="00014005"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« </w:t>
            </w:r>
            <w:r w:rsidR="00ED3745"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toutes les activités se valent</w:t>
            </w:r>
            <w:r w:rsidR="00014005"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»</w:t>
            </w:r>
            <w:r w:rsidR="00ED3745"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(dépollution, production de tabac, d’antidépresseurs, …</w:t>
            </w:r>
            <w:r w:rsidR="008F079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) et ne prend pas </w:t>
            </w:r>
            <w:r w:rsidR="00E0552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en compte leurs </w:t>
            </w:r>
            <w:r w:rsidR="008F079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conséquences écologiques à long terme (dégradation de l’environnement).</w:t>
            </w:r>
          </w:p>
          <w:p w:rsidR="00584B67" w:rsidRPr="00F31036" w:rsidRDefault="00310519" w:rsidP="005C467A">
            <w:pPr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3103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- Le P.I.B. par habitant est une moyenne ; il ne renseigne pas sur la répartition des richesses.</w:t>
            </w:r>
          </w:p>
        </w:tc>
      </w:tr>
    </w:tbl>
    <w:p w:rsidR="00904706" w:rsidRDefault="00904706" w:rsidP="00904706">
      <w:pPr>
        <w:ind w:right="-42"/>
        <w:jc w:val="both"/>
        <w:rPr>
          <w:b/>
          <w:bCs/>
          <w:sz w:val="20"/>
          <w:szCs w:val="20"/>
        </w:rPr>
      </w:pPr>
    </w:p>
    <w:sectPr w:rsidR="00904706" w:rsidSect="00F31036">
      <w:footerReference w:type="even" r:id="rId15"/>
      <w:pgSz w:w="11906" w:h="16838"/>
      <w:pgMar w:top="964" w:right="964" w:bottom="624" w:left="964" w:header="709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79F" w:rsidRDefault="008F079F">
      <w:r>
        <w:separator/>
      </w:r>
    </w:p>
  </w:endnote>
  <w:endnote w:type="continuationSeparator" w:id="0">
    <w:p w:rsidR="008F079F" w:rsidRDefault="008F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ews Gothic Std">
    <w:altName w:val="News Gothic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79F" w:rsidRDefault="008F079F" w:rsidP="0001445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:rsidR="008F079F" w:rsidRDefault="008F079F" w:rsidP="0001445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79F" w:rsidRDefault="008F079F">
      <w:r>
        <w:separator/>
      </w:r>
    </w:p>
  </w:footnote>
  <w:footnote w:type="continuationSeparator" w:id="0">
    <w:p w:rsidR="008F079F" w:rsidRDefault="008F0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6AC4"/>
    <w:multiLevelType w:val="hybridMultilevel"/>
    <w:tmpl w:val="4D4499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D5A7C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70BEC"/>
    <w:multiLevelType w:val="hybridMultilevel"/>
    <w:tmpl w:val="3808F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D43F3"/>
    <w:multiLevelType w:val="hybridMultilevel"/>
    <w:tmpl w:val="4E3E2F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E18A7"/>
    <w:multiLevelType w:val="hybridMultilevel"/>
    <w:tmpl w:val="560C927E"/>
    <w:lvl w:ilvl="0" w:tplc="EE061D02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134E58A8"/>
    <w:multiLevelType w:val="hybridMultilevel"/>
    <w:tmpl w:val="84C645DA"/>
    <w:lvl w:ilvl="0" w:tplc="530C548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D70E7"/>
    <w:multiLevelType w:val="hybridMultilevel"/>
    <w:tmpl w:val="94BEDBBA"/>
    <w:lvl w:ilvl="0" w:tplc="A22C19D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04452"/>
    <w:multiLevelType w:val="hybridMultilevel"/>
    <w:tmpl w:val="84C645DA"/>
    <w:lvl w:ilvl="0" w:tplc="530C548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D5D2E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B5794"/>
    <w:multiLevelType w:val="hybridMultilevel"/>
    <w:tmpl w:val="94BEDBBA"/>
    <w:lvl w:ilvl="0" w:tplc="A22C19D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C11A5"/>
    <w:multiLevelType w:val="hybridMultilevel"/>
    <w:tmpl w:val="30D23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D0722F"/>
    <w:multiLevelType w:val="hybridMultilevel"/>
    <w:tmpl w:val="75CC6D24"/>
    <w:lvl w:ilvl="0" w:tplc="3D56940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E3B8F"/>
    <w:multiLevelType w:val="hybridMultilevel"/>
    <w:tmpl w:val="75CC6D24"/>
    <w:lvl w:ilvl="0" w:tplc="3D569408">
      <w:start w:val="1"/>
      <w:numFmt w:val="upperLetter"/>
      <w:lvlText w:val="%1."/>
      <w:lvlJc w:val="left"/>
      <w:pPr>
        <w:ind w:left="717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7F496895"/>
    <w:multiLevelType w:val="hybridMultilevel"/>
    <w:tmpl w:val="B2B07E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12"/>
  </w:num>
  <w:num w:numId="8">
    <w:abstractNumId w:val="8"/>
  </w:num>
  <w:num w:numId="9">
    <w:abstractNumId w:val="2"/>
  </w:num>
  <w:num w:numId="10">
    <w:abstractNumId w:val="13"/>
  </w:num>
  <w:num w:numId="11">
    <w:abstractNumId w:val="10"/>
  </w:num>
  <w:num w:numId="12">
    <w:abstractNumId w:val="3"/>
  </w:num>
  <w:num w:numId="13">
    <w:abstractNumId w:val="9"/>
  </w:num>
  <w:num w:numId="1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23D"/>
    <w:rsid w:val="00000ADF"/>
    <w:rsid w:val="000056F8"/>
    <w:rsid w:val="00011CCA"/>
    <w:rsid w:val="0001289C"/>
    <w:rsid w:val="00013474"/>
    <w:rsid w:val="00014005"/>
    <w:rsid w:val="000142C0"/>
    <w:rsid w:val="00014459"/>
    <w:rsid w:val="00017B52"/>
    <w:rsid w:val="00020022"/>
    <w:rsid w:val="00021A16"/>
    <w:rsid w:val="00023620"/>
    <w:rsid w:val="000250CB"/>
    <w:rsid w:val="00026558"/>
    <w:rsid w:val="00030C85"/>
    <w:rsid w:val="00031262"/>
    <w:rsid w:val="000316D9"/>
    <w:rsid w:val="00032654"/>
    <w:rsid w:val="00032F3A"/>
    <w:rsid w:val="000338A4"/>
    <w:rsid w:val="000405B8"/>
    <w:rsid w:val="00040E3C"/>
    <w:rsid w:val="00046D58"/>
    <w:rsid w:val="0004780B"/>
    <w:rsid w:val="00054667"/>
    <w:rsid w:val="00054830"/>
    <w:rsid w:val="000572D2"/>
    <w:rsid w:val="00057A3C"/>
    <w:rsid w:val="000605D9"/>
    <w:rsid w:val="00060C67"/>
    <w:rsid w:val="00061EB9"/>
    <w:rsid w:val="000666F8"/>
    <w:rsid w:val="000703EA"/>
    <w:rsid w:val="00070496"/>
    <w:rsid w:val="000725D4"/>
    <w:rsid w:val="00072F3E"/>
    <w:rsid w:val="00073478"/>
    <w:rsid w:val="00073AC0"/>
    <w:rsid w:val="0007609C"/>
    <w:rsid w:val="00082C3E"/>
    <w:rsid w:val="00082D06"/>
    <w:rsid w:val="000901EB"/>
    <w:rsid w:val="00092867"/>
    <w:rsid w:val="000967C0"/>
    <w:rsid w:val="00096E75"/>
    <w:rsid w:val="00097FBA"/>
    <w:rsid w:val="000A17A8"/>
    <w:rsid w:val="000A21D7"/>
    <w:rsid w:val="000A5848"/>
    <w:rsid w:val="000A60A2"/>
    <w:rsid w:val="000A7FC6"/>
    <w:rsid w:val="000B2146"/>
    <w:rsid w:val="000B25C3"/>
    <w:rsid w:val="000B33C9"/>
    <w:rsid w:val="000B716A"/>
    <w:rsid w:val="000C0286"/>
    <w:rsid w:val="000C1E9D"/>
    <w:rsid w:val="000C27C0"/>
    <w:rsid w:val="000C3241"/>
    <w:rsid w:val="000C3409"/>
    <w:rsid w:val="000C586E"/>
    <w:rsid w:val="000C593C"/>
    <w:rsid w:val="000C75F3"/>
    <w:rsid w:val="000C7D1E"/>
    <w:rsid w:val="000D01F2"/>
    <w:rsid w:val="000D128A"/>
    <w:rsid w:val="000D2BD2"/>
    <w:rsid w:val="000D4F97"/>
    <w:rsid w:val="000D597A"/>
    <w:rsid w:val="000D6910"/>
    <w:rsid w:val="000D6AF1"/>
    <w:rsid w:val="000D6CD9"/>
    <w:rsid w:val="000D70F9"/>
    <w:rsid w:val="000E32DB"/>
    <w:rsid w:val="000E392E"/>
    <w:rsid w:val="000E4093"/>
    <w:rsid w:val="000E53E1"/>
    <w:rsid w:val="000E67F4"/>
    <w:rsid w:val="000E695A"/>
    <w:rsid w:val="000F073F"/>
    <w:rsid w:val="000F107E"/>
    <w:rsid w:val="000F1EFD"/>
    <w:rsid w:val="000F2A44"/>
    <w:rsid w:val="000F3125"/>
    <w:rsid w:val="000F3477"/>
    <w:rsid w:val="000F4E70"/>
    <w:rsid w:val="000F7FD8"/>
    <w:rsid w:val="00100493"/>
    <w:rsid w:val="00101BE3"/>
    <w:rsid w:val="001021DE"/>
    <w:rsid w:val="00102813"/>
    <w:rsid w:val="0010385D"/>
    <w:rsid w:val="00104436"/>
    <w:rsid w:val="00105B9B"/>
    <w:rsid w:val="00107BEC"/>
    <w:rsid w:val="00111CC6"/>
    <w:rsid w:val="00114404"/>
    <w:rsid w:val="00114EF2"/>
    <w:rsid w:val="0011697A"/>
    <w:rsid w:val="00120A3C"/>
    <w:rsid w:val="00120D72"/>
    <w:rsid w:val="001217D2"/>
    <w:rsid w:val="0012444D"/>
    <w:rsid w:val="00124B6E"/>
    <w:rsid w:val="00134DEF"/>
    <w:rsid w:val="00135969"/>
    <w:rsid w:val="00136231"/>
    <w:rsid w:val="00136F93"/>
    <w:rsid w:val="001373B4"/>
    <w:rsid w:val="00140A14"/>
    <w:rsid w:val="00140F4B"/>
    <w:rsid w:val="00141DA0"/>
    <w:rsid w:val="00141FE2"/>
    <w:rsid w:val="001428FC"/>
    <w:rsid w:val="00145EC0"/>
    <w:rsid w:val="00146EBF"/>
    <w:rsid w:val="00147654"/>
    <w:rsid w:val="00153888"/>
    <w:rsid w:val="00154F93"/>
    <w:rsid w:val="00155B25"/>
    <w:rsid w:val="00155B55"/>
    <w:rsid w:val="00157668"/>
    <w:rsid w:val="00160FD0"/>
    <w:rsid w:val="00163D54"/>
    <w:rsid w:val="00165119"/>
    <w:rsid w:val="00166284"/>
    <w:rsid w:val="00172AF9"/>
    <w:rsid w:val="00172CD4"/>
    <w:rsid w:val="00172D1A"/>
    <w:rsid w:val="00175E8C"/>
    <w:rsid w:val="00181706"/>
    <w:rsid w:val="00182AFF"/>
    <w:rsid w:val="001900DC"/>
    <w:rsid w:val="0019030C"/>
    <w:rsid w:val="00192137"/>
    <w:rsid w:val="00194063"/>
    <w:rsid w:val="00196821"/>
    <w:rsid w:val="001972F8"/>
    <w:rsid w:val="0019794D"/>
    <w:rsid w:val="00197952"/>
    <w:rsid w:val="00197D0D"/>
    <w:rsid w:val="001A0170"/>
    <w:rsid w:val="001A0619"/>
    <w:rsid w:val="001A08C6"/>
    <w:rsid w:val="001A47E2"/>
    <w:rsid w:val="001A50AD"/>
    <w:rsid w:val="001A5FCA"/>
    <w:rsid w:val="001A78B0"/>
    <w:rsid w:val="001B21EF"/>
    <w:rsid w:val="001B22A7"/>
    <w:rsid w:val="001B4673"/>
    <w:rsid w:val="001B7BFC"/>
    <w:rsid w:val="001C05C1"/>
    <w:rsid w:val="001C22E1"/>
    <w:rsid w:val="001C2ECE"/>
    <w:rsid w:val="001C51F5"/>
    <w:rsid w:val="001C7308"/>
    <w:rsid w:val="001D53BA"/>
    <w:rsid w:val="001D69C8"/>
    <w:rsid w:val="001D712A"/>
    <w:rsid w:val="001D75BE"/>
    <w:rsid w:val="001E14E2"/>
    <w:rsid w:val="001E1A05"/>
    <w:rsid w:val="001E246D"/>
    <w:rsid w:val="001E35CF"/>
    <w:rsid w:val="001E3891"/>
    <w:rsid w:val="001E3C93"/>
    <w:rsid w:val="001E4773"/>
    <w:rsid w:val="001E4F09"/>
    <w:rsid w:val="001F021A"/>
    <w:rsid w:val="001F4FB4"/>
    <w:rsid w:val="00205444"/>
    <w:rsid w:val="00206535"/>
    <w:rsid w:val="00207E9C"/>
    <w:rsid w:val="00211A30"/>
    <w:rsid w:val="00211D7A"/>
    <w:rsid w:val="002123BC"/>
    <w:rsid w:val="00213CD7"/>
    <w:rsid w:val="002146A6"/>
    <w:rsid w:val="00215FB4"/>
    <w:rsid w:val="00216F17"/>
    <w:rsid w:val="002174C7"/>
    <w:rsid w:val="00217DB9"/>
    <w:rsid w:val="002218E2"/>
    <w:rsid w:val="00223A1C"/>
    <w:rsid w:val="002302D2"/>
    <w:rsid w:val="0023161A"/>
    <w:rsid w:val="002317A5"/>
    <w:rsid w:val="0023306C"/>
    <w:rsid w:val="00236844"/>
    <w:rsid w:val="00237E86"/>
    <w:rsid w:val="00246837"/>
    <w:rsid w:val="002508E6"/>
    <w:rsid w:val="00252AC4"/>
    <w:rsid w:val="00253166"/>
    <w:rsid w:val="002538D5"/>
    <w:rsid w:val="00253F11"/>
    <w:rsid w:val="00254291"/>
    <w:rsid w:val="00255F20"/>
    <w:rsid w:val="00256C1C"/>
    <w:rsid w:val="00261244"/>
    <w:rsid w:val="00264C6C"/>
    <w:rsid w:val="00264FE2"/>
    <w:rsid w:val="00267E87"/>
    <w:rsid w:val="00271411"/>
    <w:rsid w:val="00272B75"/>
    <w:rsid w:val="00273DA4"/>
    <w:rsid w:val="00280E7C"/>
    <w:rsid w:val="00281D61"/>
    <w:rsid w:val="00284F44"/>
    <w:rsid w:val="00285F41"/>
    <w:rsid w:val="002862F6"/>
    <w:rsid w:val="00287716"/>
    <w:rsid w:val="00290F36"/>
    <w:rsid w:val="00291358"/>
    <w:rsid w:val="0029277D"/>
    <w:rsid w:val="002961C9"/>
    <w:rsid w:val="00296482"/>
    <w:rsid w:val="002971ED"/>
    <w:rsid w:val="00297CB4"/>
    <w:rsid w:val="002A3BE3"/>
    <w:rsid w:val="002A61D4"/>
    <w:rsid w:val="002A6BCA"/>
    <w:rsid w:val="002B3875"/>
    <w:rsid w:val="002B4F46"/>
    <w:rsid w:val="002B4FF3"/>
    <w:rsid w:val="002B5AF2"/>
    <w:rsid w:val="002B5B3F"/>
    <w:rsid w:val="002B73C5"/>
    <w:rsid w:val="002C11F8"/>
    <w:rsid w:val="002C1AEE"/>
    <w:rsid w:val="002C36C4"/>
    <w:rsid w:val="002D0617"/>
    <w:rsid w:val="002D2D13"/>
    <w:rsid w:val="002D3B0E"/>
    <w:rsid w:val="002D492B"/>
    <w:rsid w:val="002D559D"/>
    <w:rsid w:val="002D5C44"/>
    <w:rsid w:val="002E1756"/>
    <w:rsid w:val="002E19FC"/>
    <w:rsid w:val="002E737C"/>
    <w:rsid w:val="002F7A31"/>
    <w:rsid w:val="0030369D"/>
    <w:rsid w:val="00303BDB"/>
    <w:rsid w:val="00305463"/>
    <w:rsid w:val="00306C43"/>
    <w:rsid w:val="00307757"/>
    <w:rsid w:val="00310519"/>
    <w:rsid w:val="0031113A"/>
    <w:rsid w:val="003112C2"/>
    <w:rsid w:val="003122EB"/>
    <w:rsid w:val="00312862"/>
    <w:rsid w:val="00315528"/>
    <w:rsid w:val="00316108"/>
    <w:rsid w:val="003242FC"/>
    <w:rsid w:val="00325C62"/>
    <w:rsid w:val="0032668C"/>
    <w:rsid w:val="00327852"/>
    <w:rsid w:val="003317B2"/>
    <w:rsid w:val="003326D0"/>
    <w:rsid w:val="00332BE0"/>
    <w:rsid w:val="00332E81"/>
    <w:rsid w:val="0033392F"/>
    <w:rsid w:val="00340BEF"/>
    <w:rsid w:val="00341B34"/>
    <w:rsid w:val="00341D87"/>
    <w:rsid w:val="003454FC"/>
    <w:rsid w:val="00345ABB"/>
    <w:rsid w:val="00346B59"/>
    <w:rsid w:val="003502FB"/>
    <w:rsid w:val="00351930"/>
    <w:rsid w:val="00352E33"/>
    <w:rsid w:val="00357F1D"/>
    <w:rsid w:val="00360100"/>
    <w:rsid w:val="003609D5"/>
    <w:rsid w:val="00361E03"/>
    <w:rsid w:val="00364569"/>
    <w:rsid w:val="00364776"/>
    <w:rsid w:val="0037071B"/>
    <w:rsid w:val="003716C7"/>
    <w:rsid w:val="0037456F"/>
    <w:rsid w:val="00374E15"/>
    <w:rsid w:val="0037521D"/>
    <w:rsid w:val="00376327"/>
    <w:rsid w:val="00376A41"/>
    <w:rsid w:val="00376C58"/>
    <w:rsid w:val="003779E2"/>
    <w:rsid w:val="00380C8F"/>
    <w:rsid w:val="003823EE"/>
    <w:rsid w:val="00383740"/>
    <w:rsid w:val="0038415F"/>
    <w:rsid w:val="003866CC"/>
    <w:rsid w:val="003903C8"/>
    <w:rsid w:val="00390950"/>
    <w:rsid w:val="00393C78"/>
    <w:rsid w:val="00395400"/>
    <w:rsid w:val="0039723C"/>
    <w:rsid w:val="00397B66"/>
    <w:rsid w:val="003A01CB"/>
    <w:rsid w:val="003A17BE"/>
    <w:rsid w:val="003A2F7B"/>
    <w:rsid w:val="003A337E"/>
    <w:rsid w:val="003A38CA"/>
    <w:rsid w:val="003A5CE6"/>
    <w:rsid w:val="003A6352"/>
    <w:rsid w:val="003B62E8"/>
    <w:rsid w:val="003B6BF0"/>
    <w:rsid w:val="003B7498"/>
    <w:rsid w:val="003B792B"/>
    <w:rsid w:val="003C3457"/>
    <w:rsid w:val="003C595F"/>
    <w:rsid w:val="003C5ADD"/>
    <w:rsid w:val="003C7E30"/>
    <w:rsid w:val="003D1BF9"/>
    <w:rsid w:val="003D1CFE"/>
    <w:rsid w:val="003D3136"/>
    <w:rsid w:val="003D3AEC"/>
    <w:rsid w:val="003D5859"/>
    <w:rsid w:val="003D6C20"/>
    <w:rsid w:val="003E0054"/>
    <w:rsid w:val="003E298D"/>
    <w:rsid w:val="003E3AA9"/>
    <w:rsid w:val="003E4AB4"/>
    <w:rsid w:val="003F1420"/>
    <w:rsid w:val="0040001D"/>
    <w:rsid w:val="00401296"/>
    <w:rsid w:val="004073E3"/>
    <w:rsid w:val="00410F5C"/>
    <w:rsid w:val="004131A6"/>
    <w:rsid w:val="00414EC6"/>
    <w:rsid w:val="00420930"/>
    <w:rsid w:val="00421236"/>
    <w:rsid w:val="00421372"/>
    <w:rsid w:val="004223FC"/>
    <w:rsid w:val="00425E25"/>
    <w:rsid w:val="00426454"/>
    <w:rsid w:val="004324BD"/>
    <w:rsid w:val="00432C5C"/>
    <w:rsid w:val="0043354E"/>
    <w:rsid w:val="0043649C"/>
    <w:rsid w:val="00436BB5"/>
    <w:rsid w:val="00436F68"/>
    <w:rsid w:val="004426E4"/>
    <w:rsid w:val="00442A67"/>
    <w:rsid w:val="00442B90"/>
    <w:rsid w:val="00444538"/>
    <w:rsid w:val="004448D9"/>
    <w:rsid w:val="00445F5F"/>
    <w:rsid w:val="0044706D"/>
    <w:rsid w:val="004500D6"/>
    <w:rsid w:val="0045075D"/>
    <w:rsid w:val="0045152E"/>
    <w:rsid w:val="0045750F"/>
    <w:rsid w:val="0046124F"/>
    <w:rsid w:val="00463B97"/>
    <w:rsid w:val="004641CC"/>
    <w:rsid w:val="00465B67"/>
    <w:rsid w:val="004705FC"/>
    <w:rsid w:val="0047340C"/>
    <w:rsid w:val="00481788"/>
    <w:rsid w:val="00481C31"/>
    <w:rsid w:val="00481C61"/>
    <w:rsid w:val="00485255"/>
    <w:rsid w:val="00485B17"/>
    <w:rsid w:val="00485CA3"/>
    <w:rsid w:val="00485E25"/>
    <w:rsid w:val="00487C6E"/>
    <w:rsid w:val="0049210C"/>
    <w:rsid w:val="004956FD"/>
    <w:rsid w:val="00496F2B"/>
    <w:rsid w:val="004A546D"/>
    <w:rsid w:val="004A6D57"/>
    <w:rsid w:val="004B2533"/>
    <w:rsid w:val="004B2781"/>
    <w:rsid w:val="004B568F"/>
    <w:rsid w:val="004B5EBE"/>
    <w:rsid w:val="004B78B3"/>
    <w:rsid w:val="004C123D"/>
    <w:rsid w:val="004C2AAE"/>
    <w:rsid w:val="004C7758"/>
    <w:rsid w:val="004D10A7"/>
    <w:rsid w:val="004D4423"/>
    <w:rsid w:val="004D474E"/>
    <w:rsid w:val="004D4C5B"/>
    <w:rsid w:val="004D5A21"/>
    <w:rsid w:val="004D5C2D"/>
    <w:rsid w:val="004D64D7"/>
    <w:rsid w:val="004E105E"/>
    <w:rsid w:val="004E157E"/>
    <w:rsid w:val="004E2FA2"/>
    <w:rsid w:val="004E4FB7"/>
    <w:rsid w:val="004E6F61"/>
    <w:rsid w:val="004F4500"/>
    <w:rsid w:val="004F4DF0"/>
    <w:rsid w:val="005004AF"/>
    <w:rsid w:val="0050188B"/>
    <w:rsid w:val="005041BA"/>
    <w:rsid w:val="00504AEE"/>
    <w:rsid w:val="00506DF5"/>
    <w:rsid w:val="0051041E"/>
    <w:rsid w:val="00510925"/>
    <w:rsid w:val="00512324"/>
    <w:rsid w:val="005202CC"/>
    <w:rsid w:val="00521080"/>
    <w:rsid w:val="00523042"/>
    <w:rsid w:val="00523F37"/>
    <w:rsid w:val="00531AF6"/>
    <w:rsid w:val="0053478E"/>
    <w:rsid w:val="0053555E"/>
    <w:rsid w:val="0054208F"/>
    <w:rsid w:val="00546458"/>
    <w:rsid w:val="00547769"/>
    <w:rsid w:val="0055460A"/>
    <w:rsid w:val="00554C14"/>
    <w:rsid w:val="005566A4"/>
    <w:rsid w:val="0055724E"/>
    <w:rsid w:val="00560188"/>
    <w:rsid w:val="005623E7"/>
    <w:rsid w:val="005638F9"/>
    <w:rsid w:val="005672F0"/>
    <w:rsid w:val="0057131F"/>
    <w:rsid w:val="005715AB"/>
    <w:rsid w:val="00571E2B"/>
    <w:rsid w:val="005721CB"/>
    <w:rsid w:val="0057262F"/>
    <w:rsid w:val="00575654"/>
    <w:rsid w:val="00575D46"/>
    <w:rsid w:val="00575D8B"/>
    <w:rsid w:val="00577296"/>
    <w:rsid w:val="00582A56"/>
    <w:rsid w:val="0058347E"/>
    <w:rsid w:val="00583520"/>
    <w:rsid w:val="00584368"/>
    <w:rsid w:val="00584B67"/>
    <w:rsid w:val="005852FC"/>
    <w:rsid w:val="00586331"/>
    <w:rsid w:val="005874E7"/>
    <w:rsid w:val="005875B0"/>
    <w:rsid w:val="0059131F"/>
    <w:rsid w:val="00594F2A"/>
    <w:rsid w:val="005A0112"/>
    <w:rsid w:val="005A1508"/>
    <w:rsid w:val="005A362E"/>
    <w:rsid w:val="005A3F36"/>
    <w:rsid w:val="005A6977"/>
    <w:rsid w:val="005B1C73"/>
    <w:rsid w:val="005B3EAD"/>
    <w:rsid w:val="005B45C7"/>
    <w:rsid w:val="005B6FC9"/>
    <w:rsid w:val="005C0484"/>
    <w:rsid w:val="005C467A"/>
    <w:rsid w:val="005C5BD6"/>
    <w:rsid w:val="005D1D58"/>
    <w:rsid w:val="005D7D23"/>
    <w:rsid w:val="005E01AD"/>
    <w:rsid w:val="005E1E59"/>
    <w:rsid w:val="005E7020"/>
    <w:rsid w:val="005F02A3"/>
    <w:rsid w:val="005F120C"/>
    <w:rsid w:val="005F1ABC"/>
    <w:rsid w:val="005F46A5"/>
    <w:rsid w:val="005F7FCC"/>
    <w:rsid w:val="00600D73"/>
    <w:rsid w:val="00600F24"/>
    <w:rsid w:val="0060149E"/>
    <w:rsid w:val="0060157B"/>
    <w:rsid w:val="00602BEE"/>
    <w:rsid w:val="0060322D"/>
    <w:rsid w:val="00604348"/>
    <w:rsid w:val="0061430A"/>
    <w:rsid w:val="00615B4B"/>
    <w:rsid w:val="00615FB7"/>
    <w:rsid w:val="00616025"/>
    <w:rsid w:val="00617593"/>
    <w:rsid w:val="00617EC7"/>
    <w:rsid w:val="00621407"/>
    <w:rsid w:val="00621914"/>
    <w:rsid w:val="00621934"/>
    <w:rsid w:val="00621C03"/>
    <w:rsid w:val="00622E9A"/>
    <w:rsid w:val="006233A7"/>
    <w:rsid w:val="00623572"/>
    <w:rsid w:val="00624549"/>
    <w:rsid w:val="00625E44"/>
    <w:rsid w:val="00626BCA"/>
    <w:rsid w:val="006311EC"/>
    <w:rsid w:val="006343A8"/>
    <w:rsid w:val="00635CE9"/>
    <w:rsid w:val="00636293"/>
    <w:rsid w:val="00636B07"/>
    <w:rsid w:val="00641892"/>
    <w:rsid w:val="00643B93"/>
    <w:rsid w:val="00644E32"/>
    <w:rsid w:val="00645265"/>
    <w:rsid w:val="00647DF8"/>
    <w:rsid w:val="00650061"/>
    <w:rsid w:val="006508DA"/>
    <w:rsid w:val="00650F5C"/>
    <w:rsid w:val="0065246E"/>
    <w:rsid w:val="006535C0"/>
    <w:rsid w:val="00653B48"/>
    <w:rsid w:val="00654B08"/>
    <w:rsid w:val="006554E2"/>
    <w:rsid w:val="00656EBE"/>
    <w:rsid w:val="0066123D"/>
    <w:rsid w:val="00662192"/>
    <w:rsid w:val="00662DC0"/>
    <w:rsid w:val="00670374"/>
    <w:rsid w:val="006726A9"/>
    <w:rsid w:val="00683423"/>
    <w:rsid w:val="00684BE7"/>
    <w:rsid w:val="00684D94"/>
    <w:rsid w:val="006877A0"/>
    <w:rsid w:val="006878B4"/>
    <w:rsid w:val="00690E56"/>
    <w:rsid w:val="00692C3F"/>
    <w:rsid w:val="0069334E"/>
    <w:rsid w:val="00694EC3"/>
    <w:rsid w:val="00695F16"/>
    <w:rsid w:val="006A182F"/>
    <w:rsid w:val="006A1C94"/>
    <w:rsid w:val="006A1EEE"/>
    <w:rsid w:val="006A3C50"/>
    <w:rsid w:val="006A3C59"/>
    <w:rsid w:val="006A59D6"/>
    <w:rsid w:val="006A7682"/>
    <w:rsid w:val="006B1EA7"/>
    <w:rsid w:val="006B431B"/>
    <w:rsid w:val="006B4826"/>
    <w:rsid w:val="006B4EBE"/>
    <w:rsid w:val="006C0708"/>
    <w:rsid w:val="006C0756"/>
    <w:rsid w:val="006C50CA"/>
    <w:rsid w:val="006C5290"/>
    <w:rsid w:val="006C59CA"/>
    <w:rsid w:val="006C6C8C"/>
    <w:rsid w:val="006C7059"/>
    <w:rsid w:val="006C7A89"/>
    <w:rsid w:val="006D2E91"/>
    <w:rsid w:val="006D4032"/>
    <w:rsid w:val="006D5B6A"/>
    <w:rsid w:val="006D68D1"/>
    <w:rsid w:val="006E2F33"/>
    <w:rsid w:val="006E31D4"/>
    <w:rsid w:val="006E3254"/>
    <w:rsid w:val="006E4510"/>
    <w:rsid w:val="006E5D86"/>
    <w:rsid w:val="006F2179"/>
    <w:rsid w:val="006F2EF1"/>
    <w:rsid w:val="006F3939"/>
    <w:rsid w:val="006F4699"/>
    <w:rsid w:val="006F533E"/>
    <w:rsid w:val="007001D2"/>
    <w:rsid w:val="00702213"/>
    <w:rsid w:val="0070261B"/>
    <w:rsid w:val="00707F66"/>
    <w:rsid w:val="00710080"/>
    <w:rsid w:val="0071218F"/>
    <w:rsid w:val="00717330"/>
    <w:rsid w:val="0071735A"/>
    <w:rsid w:val="0071749D"/>
    <w:rsid w:val="00722D4C"/>
    <w:rsid w:val="00723007"/>
    <w:rsid w:val="00723283"/>
    <w:rsid w:val="00725C89"/>
    <w:rsid w:val="00736669"/>
    <w:rsid w:val="00736EA7"/>
    <w:rsid w:val="00736F8E"/>
    <w:rsid w:val="00736FB4"/>
    <w:rsid w:val="007375DE"/>
    <w:rsid w:val="007439BB"/>
    <w:rsid w:val="00745536"/>
    <w:rsid w:val="00751067"/>
    <w:rsid w:val="007521A8"/>
    <w:rsid w:val="007529EB"/>
    <w:rsid w:val="00752E5C"/>
    <w:rsid w:val="0075390B"/>
    <w:rsid w:val="0075538F"/>
    <w:rsid w:val="00755E7D"/>
    <w:rsid w:val="0076000F"/>
    <w:rsid w:val="00763B1B"/>
    <w:rsid w:val="00764328"/>
    <w:rsid w:val="00765299"/>
    <w:rsid w:val="0077250E"/>
    <w:rsid w:val="007731D9"/>
    <w:rsid w:val="0077365B"/>
    <w:rsid w:val="00774DC4"/>
    <w:rsid w:val="007753E8"/>
    <w:rsid w:val="007756E2"/>
    <w:rsid w:val="00785614"/>
    <w:rsid w:val="0078574C"/>
    <w:rsid w:val="00785AF1"/>
    <w:rsid w:val="00785D7D"/>
    <w:rsid w:val="007907B1"/>
    <w:rsid w:val="00790D09"/>
    <w:rsid w:val="00793FC4"/>
    <w:rsid w:val="007A1E44"/>
    <w:rsid w:val="007A27A9"/>
    <w:rsid w:val="007A53DD"/>
    <w:rsid w:val="007A66B3"/>
    <w:rsid w:val="007A6D24"/>
    <w:rsid w:val="007A7EF8"/>
    <w:rsid w:val="007B01C5"/>
    <w:rsid w:val="007B6152"/>
    <w:rsid w:val="007C0B39"/>
    <w:rsid w:val="007C1E36"/>
    <w:rsid w:val="007C3C11"/>
    <w:rsid w:val="007C3EE2"/>
    <w:rsid w:val="007C6E50"/>
    <w:rsid w:val="007C7006"/>
    <w:rsid w:val="007D0341"/>
    <w:rsid w:val="007D087A"/>
    <w:rsid w:val="007D169A"/>
    <w:rsid w:val="007D2945"/>
    <w:rsid w:val="007E06AF"/>
    <w:rsid w:val="007E457C"/>
    <w:rsid w:val="007F2F50"/>
    <w:rsid w:val="007F327C"/>
    <w:rsid w:val="007F5A19"/>
    <w:rsid w:val="007F69AD"/>
    <w:rsid w:val="0080115B"/>
    <w:rsid w:val="008023E8"/>
    <w:rsid w:val="00802A64"/>
    <w:rsid w:val="00806D5C"/>
    <w:rsid w:val="008133E8"/>
    <w:rsid w:val="00814E3B"/>
    <w:rsid w:val="0082040F"/>
    <w:rsid w:val="0082114E"/>
    <w:rsid w:val="00821B0F"/>
    <w:rsid w:val="00822822"/>
    <w:rsid w:val="00825135"/>
    <w:rsid w:val="0082516C"/>
    <w:rsid w:val="00826462"/>
    <w:rsid w:val="008273F4"/>
    <w:rsid w:val="008275D8"/>
    <w:rsid w:val="008276D4"/>
    <w:rsid w:val="008302FE"/>
    <w:rsid w:val="008319A3"/>
    <w:rsid w:val="0083474B"/>
    <w:rsid w:val="00835D5B"/>
    <w:rsid w:val="00836BED"/>
    <w:rsid w:val="008440EA"/>
    <w:rsid w:val="008441D6"/>
    <w:rsid w:val="008444C9"/>
    <w:rsid w:val="00846281"/>
    <w:rsid w:val="00846E4A"/>
    <w:rsid w:val="00847172"/>
    <w:rsid w:val="00847D10"/>
    <w:rsid w:val="00850A25"/>
    <w:rsid w:val="008524CE"/>
    <w:rsid w:val="008531F4"/>
    <w:rsid w:val="00854D19"/>
    <w:rsid w:val="008572DD"/>
    <w:rsid w:val="00864A7B"/>
    <w:rsid w:val="008656E7"/>
    <w:rsid w:val="00865A8B"/>
    <w:rsid w:val="00866984"/>
    <w:rsid w:val="00866C80"/>
    <w:rsid w:val="00866DCE"/>
    <w:rsid w:val="008706DE"/>
    <w:rsid w:val="008727C6"/>
    <w:rsid w:val="00874730"/>
    <w:rsid w:val="00881FFD"/>
    <w:rsid w:val="0088242F"/>
    <w:rsid w:val="008830D8"/>
    <w:rsid w:val="0088322A"/>
    <w:rsid w:val="00883774"/>
    <w:rsid w:val="00887051"/>
    <w:rsid w:val="008901E4"/>
    <w:rsid w:val="00890FCF"/>
    <w:rsid w:val="008914AF"/>
    <w:rsid w:val="00892381"/>
    <w:rsid w:val="00895938"/>
    <w:rsid w:val="00895ACB"/>
    <w:rsid w:val="008A022E"/>
    <w:rsid w:val="008A04A4"/>
    <w:rsid w:val="008A2697"/>
    <w:rsid w:val="008A37B9"/>
    <w:rsid w:val="008A5053"/>
    <w:rsid w:val="008A5531"/>
    <w:rsid w:val="008B0D33"/>
    <w:rsid w:val="008B1817"/>
    <w:rsid w:val="008B3BEB"/>
    <w:rsid w:val="008B4A41"/>
    <w:rsid w:val="008B5073"/>
    <w:rsid w:val="008B7FFA"/>
    <w:rsid w:val="008C0E5D"/>
    <w:rsid w:val="008C2F38"/>
    <w:rsid w:val="008C42FD"/>
    <w:rsid w:val="008D1F73"/>
    <w:rsid w:val="008D3272"/>
    <w:rsid w:val="008D471D"/>
    <w:rsid w:val="008D61A9"/>
    <w:rsid w:val="008E4606"/>
    <w:rsid w:val="008E59D5"/>
    <w:rsid w:val="008F06B9"/>
    <w:rsid w:val="008F079F"/>
    <w:rsid w:val="008F2875"/>
    <w:rsid w:val="008F313B"/>
    <w:rsid w:val="008F4D76"/>
    <w:rsid w:val="008F6B8C"/>
    <w:rsid w:val="008F7131"/>
    <w:rsid w:val="008F7E60"/>
    <w:rsid w:val="00904706"/>
    <w:rsid w:val="00905929"/>
    <w:rsid w:val="0090756B"/>
    <w:rsid w:val="009075D9"/>
    <w:rsid w:val="00907C64"/>
    <w:rsid w:val="009101CD"/>
    <w:rsid w:val="00913714"/>
    <w:rsid w:val="00914B4F"/>
    <w:rsid w:val="00914B8B"/>
    <w:rsid w:val="00914CB7"/>
    <w:rsid w:val="00923100"/>
    <w:rsid w:val="00926F62"/>
    <w:rsid w:val="00930B5A"/>
    <w:rsid w:val="00931343"/>
    <w:rsid w:val="0093238C"/>
    <w:rsid w:val="00932CF9"/>
    <w:rsid w:val="00937D59"/>
    <w:rsid w:val="00945344"/>
    <w:rsid w:val="009453AF"/>
    <w:rsid w:val="00945C54"/>
    <w:rsid w:val="00946385"/>
    <w:rsid w:val="00950C8B"/>
    <w:rsid w:val="00951879"/>
    <w:rsid w:val="00955E9A"/>
    <w:rsid w:val="00956395"/>
    <w:rsid w:val="00956940"/>
    <w:rsid w:val="00957496"/>
    <w:rsid w:val="009605D9"/>
    <w:rsid w:val="00960CFA"/>
    <w:rsid w:val="00960EB6"/>
    <w:rsid w:val="00961EC8"/>
    <w:rsid w:val="00963074"/>
    <w:rsid w:val="00963412"/>
    <w:rsid w:val="00970850"/>
    <w:rsid w:val="009708D7"/>
    <w:rsid w:val="00972DE2"/>
    <w:rsid w:val="00973EBC"/>
    <w:rsid w:val="0097527E"/>
    <w:rsid w:val="009755B3"/>
    <w:rsid w:val="009757BA"/>
    <w:rsid w:val="00975E28"/>
    <w:rsid w:val="00977852"/>
    <w:rsid w:val="0098025B"/>
    <w:rsid w:val="00980813"/>
    <w:rsid w:val="00980AE5"/>
    <w:rsid w:val="009816B0"/>
    <w:rsid w:val="0098228F"/>
    <w:rsid w:val="00982BB2"/>
    <w:rsid w:val="00983FB7"/>
    <w:rsid w:val="00984114"/>
    <w:rsid w:val="0098536C"/>
    <w:rsid w:val="0098676D"/>
    <w:rsid w:val="00995081"/>
    <w:rsid w:val="00995176"/>
    <w:rsid w:val="00997D30"/>
    <w:rsid w:val="009A286E"/>
    <w:rsid w:val="009A3A46"/>
    <w:rsid w:val="009A3BD0"/>
    <w:rsid w:val="009A6D61"/>
    <w:rsid w:val="009B1D50"/>
    <w:rsid w:val="009B5994"/>
    <w:rsid w:val="009B6311"/>
    <w:rsid w:val="009B6567"/>
    <w:rsid w:val="009B6865"/>
    <w:rsid w:val="009C19D8"/>
    <w:rsid w:val="009C2636"/>
    <w:rsid w:val="009C65BF"/>
    <w:rsid w:val="009D0C0F"/>
    <w:rsid w:val="009D1E7D"/>
    <w:rsid w:val="009D2A06"/>
    <w:rsid w:val="009D735E"/>
    <w:rsid w:val="009D7B7A"/>
    <w:rsid w:val="009D7D41"/>
    <w:rsid w:val="009E0591"/>
    <w:rsid w:val="009E16B2"/>
    <w:rsid w:val="009E47B7"/>
    <w:rsid w:val="009E6766"/>
    <w:rsid w:val="009E72FD"/>
    <w:rsid w:val="009F1A34"/>
    <w:rsid w:val="009F2DBB"/>
    <w:rsid w:val="009F3E0D"/>
    <w:rsid w:val="009F5583"/>
    <w:rsid w:val="009F57E8"/>
    <w:rsid w:val="009F5BBD"/>
    <w:rsid w:val="009F7AC4"/>
    <w:rsid w:val="009F7CE0"/>
    <w:rsid w:val="009F7EE5"/>
    <w:rsid w:val="00A0141B"/>
    <w:rsid w:val="00A029D0"/>
    <w:rsid w:val="00A0567D"/>
    <w:rsid w:val="00A07C3F"/>
    <w:rsid w:val="00A102E4"/>
    <w:rsid w:val="00A10F0B"/>
    <w:rsid w:val="00A127E6"/>
    <w:rsid w:val="00A12C6E"/>
    <w:rsid w:val="00A157E6"/>
    <w:rsid w:val="00A15E16"/>
    <w:rsid w:val="00A205D9"/>
    <w:rsid w:val="00A21E03"/>
    <w:rsid w:val="00A22E51"/>
    <w:rsid w:val="00A24BF0"/>
    <w:rsid w:val="00A31800"/>
    <w:rsid w:val="00A36B79"/>
    <w:rsid w:val="00A44A73"/>
    <w:rsid w:val="00A45A67"/>
    <w:rsid w:val="00A507C5"/>
    <w:rsid w:val="00A51ADD"/>
    <w:rsid w:val="00A5320F"/>
    <w:rsid w:val="00A545D1"/>
    <w:rsid w:val="00A54FF8"/>
    <w:rsid w:val="00A553AB"/>
    <w:rsid w:val="00A57621"/>
    <w:rsid w:val="00A61BCA"/>
    <w:rsid w:val="00A62BAC"/>
    <w:rsid w:val="00A62BDC"/>
    <w:rsid w:val="00A65BD0"/>
    <w:rsid w:val="00A65E05"/>
    <w:rsid w:val="00A66EF7"/>
    <w:rsid w:val="00A7280A"/>
    <w:rsid w:val="00A749E5"/>
    <w:rsid w:val="00A74A93"/>
    <w:rsid w:val="00A7788B"/>
    <w:rsid w:val="00A80A47"/>
    <w:rsid w:val="00A8148D"/>
    <w:rsid w:val="00A81536"/>
    <w:rsid w:val="00A84834"/>
    <w:rsid w:val="00A849BC"/>
    <w:rsid w:val="00A85DBB"/>
    <w:rsid w:val="00A8721D"/>
    <w:rsid w:val="00A91101"/>
    <w:rsid w:val="00A93924"/>
    <w:rsid w:val="00A94BC5"/>
    <w:rsid w:val="00A94D7B"/>
    <w:rsid w:val="00A96CF6"/>
    <w:rsid w:val="00AA4274"/>
    <w:rsid w:val="00AA44BD"/>
    <w:rsid w:val="00AA47EA"/>
    <w:rsid w:val="00AA4B76"/>
    <w:rsid w:val="00AA785A"/>
    <w:rsid w:val="00AA7CA3"/>
    <w:rsid w:val="00AB135D"/>
    <w:rsid w:val="00AB2D1A"/>
    <w:rsid w:val="00AB3693"/>
    <w:rsid w:val="00AB5939"/>
    <w:rsid w:val="00AB5C46"/>
    <w:rsid w:val="00AB7475"/>
    <w:rsid w:val="00AB7E97"/>
    <w:rsid w:val="00AC0921"/>
    <w:rsid w:val="00AC27AE"/>
    <w:rsid w:val="00AC4226"/>
    <w:rsid w:val="00AC4459"/>
    <w:rsid w:val="00AC48BF"/>
    <w:rsid w:val="00AC6031"/>
    <w:rsid w:val="00AC6641"/>
    <w:rsid w:val="00AC77E6"/>
    <w:rsid w:val="00AC78A4"/>
    <w:rsid w:val="00AD14D8"/>
    <w:rsid w:val="00AD2971"/>
    <w:rsid w:val="00AD33E6"/>
    <w:rsid w:val="00AD4313"/>
    <w:rsid w:val="00AD63A9"/>
    <w:rsid w:val="00AD7A08"/>
    <w:rsid w:val="00AE025C"/>
    <w:rsid w:val="00AE05FA"/>
    <w:rsid w:val="00AE182D"/>
    <w:rsid w:val="00AE49C1"/>
    <w:rsid w:val="00AE7B99"/>
    <w:rsid w:val="00AF1710"/>
    <w:rsid w:val="00AF2B5E"/>
    <w:rsid w:val="00AF5BB9"/>
    <w:rsid w:val="00B009BF"/>
    <w:rsid w:val="00B0213C"/>
    <w:rsid w:val="00B078F6"/>
    <w:rsid w:val="00B10C36"/>
    <w:rsid w:val="00B12137"/>
    <w:rsid w:val="00B12BF3"/>
    <w:rsid w:val="00B14829"/>
    <w:rsid w:val="00B15224"/>
    <w:rsid w:val="00B1569E"/>
    <w:rsid w:val="00B17584"/>
    <w:rsid w:val="00B208DC"/>
    <w:rsid w:val="00B2206A"/>
    <w:rsid w:val="00B2228D"/>
    <w:rsid w:val="00B22952"/>
    <w:rsid w:val="00B22CA4"/>
    <w:rsid w:val="00B23FE4"/>
    <w:rsid w:val="00B27151"/>
    <w:rsid w:val="00B27152"/>
    <w:rsid w:val="00B30CBD"/>
    <w:rsid w:val="00B3434C"/>
    <w:rsid w:val="00B418E4"/>
    <w:rsid w:val="00B41FA3"/>
    <w:rsid w:val="00B42E33"/>
    <w:rsid w:val="00B42F26"/>
    <w:rsid w:val="00B44D21"/>
    <w:rsid w:val="00B47113"/>
    <w:rsid w:val="00B47390"/>
    <w:rsid w:val="00B47CE5"/>
    <w:rsid w:val="00B47FF4"/>
    <w:rsid w:val="00B51620"/>
    <w:rsid w:val="00B5460A"/>
    <w:rsid w:val="00B54FEE"/>
    <w:rsid w:val="00B5533D"/>
    <w:rsid w:val="00B555AA"/>
    <w:rsid w:val="00B55AA6"/>
    <w:rsid w:val="00B60FFE"/>
    <w:rsid w:val="00B62341"/>
    <w:rsid w:val="00B637A5"/>
    <w:rsid w:val="00B64137"/>
    <w:rsid w:val="00B64260"/>
    <w:rsid w:val="00B64653"/>
    <w:rsid w:val="00B64961"/>
    <w:rsid w:val="00B65174"/>
    <w:rsid w:val="00B66339"/>
    <w:rsid w:val="00B71030"/>
    <w:rsid w:val="00B75981"/>
    <w:rsid w:val="00B77F3B"/>
    <w:rsid w:val="00B8504E"/>
    <w:rsid w:val="00B90389"/>
    <w:rsid w:val="00B90C1B"/>
    <w:rsid w:val="00B94221"/>
    <w:rsid w:val="00B943F8"/>
    <w:rsid w:val="00B963D1"/>
    <w:rsid w:val="00B967E5"/>
    <w:rsid w:val="00B96944"/>
    <w:rsid w:val="00B96CD6"/>
    <w:rsid w:val="00B96D4A"/>
    <w:rsid w:val="00B97E45"/>
    <w:rsid w:val="00BA17AC"/>
    <w:rsid w:val="00BA7091"/>
    <w:rsid w:val="00BB2010"/>
    <w:rsid w:val="00BB4AAD"/>
    <w:rsid w:val="00BB622B"/>
    <w:rsid w:val="00BB6721"/>
    <w:rsid w:val="00BC0B83"/>
    <w:rsid w:val="00BC2EE2"/>
    <w:rsid w:val="00BC4914"/>
    <w:rsid w:val="00BC5E64"/>
    <w:rsid w:val="00BC715F"/>
    <w:rsid w:val="00BC7832"/>
    <w:rsid w:val="00BD03BE"/>
    <w:rsid w:val="00BD3A9E"/>
    <w:rsid w:val="00BD433E"/>
    <w:rsid w:val="00BD4414"/>
    <w:rsid w:val="00BE18DC"/>
    <w:rsid w:val="00BE4ED2"/>
    <w:rsid w:val="00BF450A"/>
    <w:rsid w:val="00BF7640"/>
    <w:rsid w:val="00BF7D81"/>
    <w:rsid w:val="00BF7F5F"/>
    <w:rsid w:val="00C0313B"/>
    <w:rsid w:val="00C03BBB"/>
    <w:rsid w:val="00C14D15"/>
    <w:rsid w:val="00C165E2"/>
    <w:rsid w:val="00C210AB"/>
    <w:rsid w:val="00C21B71"/>
    <w:rsid w:val="00C2419D"/>
    <w:rsid w:val="00C25562"/>
    <w:rsid w:val="00C2640B"/>
    <w:rsid w:val="00C27B9C"/>
    <w:rsid w:val="00C30B37"/>
    <w:rsid w:val="00C30B3E"/>
    <w:rsid w:val="00C327DF"/>
    <w:rsid w:val="00C368CF"/>
    <w:rsid w:val="00C40221"/>
    <w:rsid w:val="00C415E5"/>
    <w:rsid w:val="00C43CCA"/>
    <w:rsid w:val="00C43FC9"/>
    <w:rsid w:val="00C45720"/>
    <w:rsid w:val="00C45859"/>
    <w:rsid w:val="00C4616A"/>
    <w:rsid w:val="00C51B59"/>
    <w:rsid w:val="00C54477"/>
    <w:rsid w:val="00C55C66"/>
    <w:rsid w:val="00C5689B"/>
    <w:rsid w:val="00C62CCE"/>
    <w:rsid w:val="00C655C4"/>
    <w:rsid w:val="00C656C0"/>
    <w:rsid w:val="00C65F5B"/>
    <w:rsid w:val="00C67546"/>
    <w:rsid w:val="00C700B6"/>
    <w:rsid w:val="00C715AD"/>
    <w:rsid w:val="00C721A9"/>
    <w:rsid w:val="00C731CB"/>
    <w:rsid w:val="00C73417"/>
    <w:rsid w:val="00C739BB"/>
    <w:rsid w:val="00C73BF1"/>
    <w:rsid w:val="00C74E2B"/>
    <w:rsid w:val="00C75D50"/>
    <w:rsid w:val="00C76697"/>
    <w:rsid w:val="00C76905"/>
    <w:rsid w:val="00C854D5"/>
    <w:rsid w:val="00C86634"/>
    <w:rsid w:val="00C87D23"/>
    <w:rsid w:val="00C91C0D"/>
    <w:rsid w:val="00C92DA8"/>
    <w:rsid w:val="00C94631"/>
    <w:rsid w:val="00C95233"/>
    <w:rsid w:val="00C96BA0"/>
    <w:rsid w:val="00C971AC"/>
    <w:rsid w:val="00C975D5"/>
    <w:rsid w:val="00CA0658"/>
    <w:rsid w:val="00CA1E23"/>
    <w:rsid w:val="00CA3AF6"/>
    <w:rsid w:val="00CA5AE2"/>
    <w:rsid w:val="00CA5C8F"/>
    <w:rsid w:val="00CB59D4"/>
    <w:rsid w:val="00CB6200"/>
    <w:rsid w:val="00CC0001"/>
    <w:rsid w:val="00CD2114"/>
    <w:rsid w:val="00CD355F"/>
    <w:rsid w:val="00CD49AD"/>
    <w:rsid w:val="00CD5040"/>
    <w:rsid w:val="00CD6808"/>
    <w:rsid w:val="00CD6D44"/>
    <w:rsid w:val="00CE294F"/>
    <w:rsid w:val="00CE66A3"/>
    <w:rsid w:val="00CE6824"/>
    <w:rsid w:val="00CF231D"/>
    <w:rsid w:val="00CF3129"/>
    <w:rsid w:val="00CF4994"/>
    <w:rsid w:val="00D05B24"/>
    <w:rsid w:val="00D06922"/>
    <w:rsid w:val="00D07FD0"/>
    <w:rsid w:val="00D1430F"/>
    <w:rsid w:val="00D14643"/>
    <w:rsid w:val="00D1498E"/>
    <w:rsid w:val="00D16713"/>
    <w:rsid w:val="00D1702A"/>
    <w:rsid w:val="00D21143"/>
    <w:rsid w:val="00D235AB"/>
    <w:rsid w:val="00D2390A"/>
    <w:rsid w:val="00D24D31"/>
    <w:rsid w:val="00D2501F"/>
    <w:rsid w:val="00D2649D"/>
    <w:rsid w:val="00D26993"/>
    <w:rsid w:val="00D27062"/>
    <w:rsid w:val="00D27CF8"/>
    <w:rsid w:val="00D31DE6"/>
    <w:rsid w:val="00D33D85"/>
    <w:rsid w:val="00D34D58"/>
    <w:rsid w:val="00D353EB"/>
    <w:rsid w:val="00D35C33"/>
    <w:rsid w:val="00D35F90"/>
    <w:rsid w:val="00D36ECE"/>
    <w:rsid w:val="00D401DA"/>
    <w:rsid w:val="00D404CF"/>
    <w:rsid w:val="00D44ED5"/>
    <w:rsid w:val="00D4708F"/>
    <w:rsid w:val="00D4725B"/>
    <w:rsid w:val="00D5000E"/>
    <w:rsid w:val="00D50583"/>
    <w:rsid w:val="00D508F8"/>
    <w:rsid w:val="00D518B3"/>
    <w:rsid w:val="00D53001"/>
    <w:rsid w:val="00D53B84"/>
    <w:rsid w:val="00D5420F"/>
    <w:rsid w:val="00D547BC"/>
    <w:rsid w:val="00D554C6"/>
    <w:rsid w:val="00D55E18"/>
    <w:rsid w:val="00D57679"/>
    <w:rsid w:val="00D577B2"/>
    <w:rsid w:val="00D6025D"/>
    <w:rsid w:val="00D6172E"/>
    <w:rsid w:val="00D628DD"/>
    <w:rsid w:val="00D62E54"/>
    <w:rsid w:val="00D62E69"/>
    <w:rsid w:val="00D6372C"/>
    <w:rsid w:val="00D6623B"/>
    <w:rsid w:val="00D676FA"/>
    <w:rsid w:val="00D71557"/>
    <w:rsid w:val="00D72050"/>
    <w:rsid w:val="00D77738"/>
    <w:rsid w:val="00D80E2A"/>
    <w:rsid w:val="00D82C86"/>
    <w:rsid w:val="00D85560"/>
    <w:rsid w:val="00D878C8"/>
    <w:rsid w:val="00D87A21"/>
    <w:rsid w:val="00D9542E"/>
    <w:rsid w:val="00D96572"/>
    <w:rsid w:val="00D96AAF"/>
    <w:rsid w:val="00DA1838"/>
    <w:rsid w:val="00DA1EE0"/>
    <w:rsid w:val="00DA370E"/>
    <w:rsid w:val="00DA3C52"/>
    <w:rsid w:val="00DA7B85"/>
    <w:rsid w:val="00DA7B8D"/>
    <w:rsid w:val="00DB1C9C"/>
    <w:rsid w:val="00DB3A81"/>
    <w:rsid w:val="00DB4708"/>
    <w:rsid w:val="00DC11BE"/>
    <w:rsid w:val="00DC407A"/>
    <w:rsid w:val="00DC4FD4"/>
    <w:rsid w:val="00DC6E7B"/>
    <w:rsid w:val="00DD247F"/>
    <w:rsid w:val="00DD2D1D"/>
    <w:rsid w:val="00DD300B"/>
    <w:rsid w:val="00DD51BA"/>
    <w:rsid w:val="00DD5363"/>
    <w:rsid w:val="00DD7100"/>
    <w:rsid w:val="00DD713F"/>
    <w:rsid w:val="00DE04C1"/>
    <w:rsid w:val="00DE2A1E"/>
    <w:rsid w:val="00DE2EDE"/>
    <w:rsid w:val="00DE5E12"/>
    <w:rsid w:val="00DE5E52"/>
    <w:rsid w:val="00DE5EEB"/>
    <w:rsid w:val="00DE6D73"/>
    <w:rsid w:val="00DF4713"/>
    <w:rsid w:val="00DF4BB8"/>
    <w:rsid w:val="00DF5FEA"/>
    <w:rsid w:val="00DF6249"/>
    <w:rsid w:val="00E008CB"/>
    <w:rsid w:val="00E00BFA"/>
    <w:rsid w:val="00E00D91"/>
    <w:rsid w:val="00E044B3"/>
    <w:rsid w:val="00E04D11"/>
    <w:rsid w:val="00E05525"/>
    <w:rsid w:val="00E062D1"/>
    <w:rsid w:val="00E066BF"/>
    <w:rsid w:val="00E105FF"/>
    <w:rsid w:val="00E11A55"/>
    <w:rsid w:val="00E1504F"/>
    <w:rsid w:val="00E16839"/>
    <w:rsid w:val="00E20A0E"/>
    <w:rsid w:val="00E24FB2"/>
    <w:rsid w:val="00E26AAF"/>
    <w:rsid w:val="00E305C2"/>
    <w:rsid w:val="00E31F5E"/>
    <w:rsid w:val="00E331B1"/>
    <w:rsid w:val="00E332C2"/>
    <w:rsid w:val="00E3459D"/>
    <w:rsid w:val="00E36272"/>
    <w:rsid w:val="00E40AE9"/>
    <w:rsid w:val="00E456B0"/>
    <w:rsid w:val="00E47955"/>
    <w:rsid w:val="00E47F27"/>
    <w:rsid w:val="00E56E55"/>
    <w:rsid w:val="00E56FD7"/>
    <w:rsid w:val="00E57298"/>
    <w:rsid w:val="00E57DC5"/>
    <w:rsid w:val="00E6195D"/>
    <w:rsid w:val="00E623C6"/>
    <w:rsid w:val="00E66D6E"/>
    <w:rsid w:val="00E670D2"/>
    <w:rsid w:val="00E67D89"/>
    <w:rsid w:val="00E720B6"/>
    <w:rsid w:val="00E73ED1"/>
    <w:rsid w:val="00E77FD0"/>
    <w:rsid w:val="00E833F6"/>
    <w:rsid w:val="00E90C5F"/>
    <w:rsid w:val="00E94065"/>
    <w:rsid w:val="00EA2FAD"/>
    <w:rsid w:val="00EA34E9"/>
    <w:rsid w:val="00EA403B"/>
    <w:rsid w:val="00EA4D2E"/>
    <w:rsid w:val="00EA4D66"/>
    <w:rsid w:val="00EA5D76"/>
    <w:rsid w:val="00EA603A"/>
    <w:rsid w:val="00EB1DF0"/>
    <w:rsid w:val="00EB2342"/>
    <w:rsid w:val="00EB3F43"/>
    <w:rsid w:val="00EB47B9"/>
    <w:rsid w:val="00EB6A12"/>
    <w:rsid w:val="00EB7135"/>
    <w:rsid w:val="00EB7184"/>
    <w:rsid w:val="00EC0CA7"/>
    <w:rsid w:val="00EC2BAE"/>
    <w:rsid w:val="00EC4461"/>
    <w:rsid w:val="00EC49EB"/>
    <w:rsid w:val="00EC5288"/>
    <w:rsid w:val="00EC7FB1"/>
    <w:rsid w:val="00ED03BB"/>
    <w:rsid w:val="00ED15C9"/>
    <w:rsid w:val="00ED1851"/>
    <w:rsid w:val="00ED30C7"/>
    <w:rsid w:val="00ED3368"/>
    <w:rsid w:val="00ED3745"/>
    <w:rsid w:val="00ED3DED"/>
    <w:rsid w:val="00ED55C2"/>
    <w:rsid w:val="00ED589A"/>
    <w:rsid w:val="00ED5DC7"/>
    <w:rsid w:val="00ED6145"/>
    <w:rsid w:val="00ED7B55"/>
    <w:rsid w:val="00EE001F"/>
    <w:rsid w:val="00EE33AE"/>
    <w:rsid w:val="00EE3D88"/>
    <w:rsid w:val="00EE4828"/>
    <w:rsid w:val="00EE4CD5"/>
    <w:rsid w:val="00EE5C43"/>
    <w:rsid w:val="00EE7434"/>
    <w:rsid w:val="00EF05CF"/>
    <w:rsid w:val="00EF1FF4"/>
    <w:rsid w:val="00EF2C2F"/>
    <w:rsid w:val="00EF5F51"/>
    <w:rsid w:val="00EF61FC"/>
    <w:rsid w:val="00EF6C4E"/>
    <w:rsid w:val="00F00DE4"/>
    <w:rsid w:val="00F016CD"/>
    <w:rsid w:val="00F03D2E"/>
    <w:rsid w:val="00F04490"/>
    <w:rsid w:val="00F10D84"/>
    <w:rsid w:val="00F12A55"/>
    <w:rsid w:val="00F1441C"/>
    <w:rsid w:val="00F200FD"/>
    <w:rsid w:val="00F212D7"/>
    <w:rsid w:val="00F21910"/>
    <w:rsid w:val="00F21CB5"/>
    <w:rsid w:val="00F22344"/>
    <w:rsid w:val="00F22381"/>
    <w:rsid w:val="00F22C2F"/>
    <w:rsid w:val="00F25B3B"/>
    <w:rsid w:val="00F26A92"/>
    <w:rsid w:val="00F30A89"/>
    <w:rsid w:val="00F31036"/>
    <w:rsid w:val="00F33662"/>
    <w:rsid w:val="00F34A89"/>
    <w:rsid w:val="00F35266"/>
    <w:rsid w:val="00F4045D"/>
    <w:rsid w:val="00F452A5"/>
    <w:rsid w:val="00F454A6"/>
    <w:rsid w:val="00F501FC"/>
    <w:rsid w:val="00F52200"/>
    <w:rsid w:val="00F54FB4"/>
    <w:rsid w:val="00F550F1"/>
    <w:rsid w:val="00F55A1C"/>
    <w:rsid w:val="00F568FD"/>
    <w:rsid w:val="00F605CD"/>
    <w:rsid w:val="00F61B14"/>
    <w:rsid w:val="00F61C40"/>
    <w:rsid w:val="00F62A87"/>
    <w:rsid w:val="00F6326A"/>
    <w:rsid w:val="00F678DA"/>
    <w:rsid w:val="00F7105A"/>
    <w:rsid w:val="00F72742"/>
    <w:rsid w:val="00F72ABC"/>
    <w:rsid w:val="00F73477"/>
    <w:rsid w:val="00F75970"/>
    <w:rsid w:val="00F76235"/>
    <w:rsid w:val="00F76271"/>
    <w:rsid w:val="00F77F9D"/>
    <w:rsid w:val="00F8656B"/>
    <w:rsid w:val="00F90E48"/>
    <w:rsid w:val="00F92984"/>
    <w:rsid w:val="00F939EE"/>
    <w:rsid w:val="00F95223"/>
    <w:rsid w:val="00F9648D"/>
    <w:rsid w:val="00F975CB"/>
    <w:rsid w:val="00FA1D2B"/>
    <w:rsid w:val="00FA2B90"/>
    <w:rsid w:val="00FA2F5C"/>
    <w:rsid w:val="00FA491C"/>
    <w:rsid w:val="00FA5D78"/>
    <w:rsid w:val="00FA60F7"/>
    <w:rsid w:val="00FA77F2"/>
    <w:rsid w:val="00FA7DF8"/>
    <w:rsid w:val="00FB0B63"/>
    <w:rsid w:val="00FB363D"/>
    <w:rsid w:val="00FB4D6C"/>
    <w:rsid w:val="00FB5806"/>
    <w:rsid w:val="00FB5B2C"/>
    <w:rsid w:val="00FB6A89"/>
    <w:rsid w:val="00FC3B44"/>
    <w:rsid w:val="00FC5A76"/>
    <w:rsid w:val="00FC6FB5"/>
    <w:rsid w:val="00FC7E6F"/>
    <w:rsid w:val="00FD03FA"/>
    <w:rsid w:val="00FD366E"/>
    <w:rsid w:val="00FD3A6D"/>
    <w:rsid w:val="00FD3AB9"/>
    <w:rsid w:val="00FD61F0"/>
    <w:rsid w:val="00FD6ABA"/>
    <w:rsid w:val="00FD709B"/>
    <w:rsid w:val="00FD70AD"/>
    <w:rsid w:val="00FD74C1"/>
    <w:rsid w:val="00FE29E5"/>
    <w:rsid w:val="00FE3729"/>
    <w:rsid w:val="00FE3D66"/>
    <w:rsid w:val="00FE4688"/>
    <w:rsid w:val="00FE5D9B"/>
    <w:rsid w:val="00FE6E88"/>
    <w:rsid w:val="00FE76CC"/>
    <w:rsid w:val="00FE7D7C"/>
    <w:rsid w:val="00FF00E7"/>
    <w:rsid w:val="00FF0275"/>
    <w:rsid w:val="00FF2B3F"/>
    <w:rsid w:val="00FF647E"/>
    <w:rsid w:val="00FF7AB9"/>
    <w:rsid w:val="00FF7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5cbdf,#dcd4e4,#bab4ae"/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Cite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26E4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B27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AA78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rsid w:val="007C70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dtxt81">
    <w:name w:val="stdtxt81"/>
    <w:rsid w:val="0060157B"/>
    <w:rPr>
      <w:color w:val="575757"/>
      <w:sz w:val="16"/>
      <w:szCs w:val="16"/>
    </w:rPr>
  </w:style>
  <w:style w:type="character" w:customStyle="1" w:styleId="stdtxt101">
    <w:name w:val="stdtxt101"/>
    <w:rsid w:val="0060157B"/>
    <w:rPr>
      <w:color w:val="575757"/>
      <w:sz w:val="20"/>
      <w:szCs w:val="20"/>
    </w:rPr>
  </w:style>
  <w:style w:type="table" w:styleId="Grilledutableau">
    <w:name w:val="Table Grid"/>
    <w:basedOn w:val="TableauNormal"/>
    <w:uiPriority w:val="59"/>
    <w:rsid w:val="00577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FB4D6C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264C6C"/>
    <w:rPr>
      <w:b/>
      <w:bCs/>
    </w:rPr>
  </w:style>
  <w:style w:type="character" w:styleId="Lienhypertexte">
    <w:name w:val="Hyperlink"/>
    <w:rsid w:val="00ED3DED"/>
    <w:rPr>
      <w:b/>
      <w:bCs/>
      <w:strike w:val="0"/>
      <w:dstrike w:val="0"/>
      <w:color w:val="003C50"/>
      <w:u w:val="none"/>
      <w:effect w:val="none"/>
      <w:shd w:val="clear" w:color="auto" w:fill="auto"/>
    </w:rPr>
  </w:style>
  <w:style w:type="character" w:customStyle="1" w:styleId="sign">
    <w:name w:val="sign"/>
    <w:rsid w:val="00ED3DED"/>
    <w:rPr>
      <w:color w:val="999999"/>
    </w:rPr>
  </w:style>
  <w:style w:type="character" w:customStyle="1" w:styleId="pictopicto-reagir">
    <w:name w:val="picto picto-reagir"/>
    <w:basedOn w:val="Policepardfaut"/>
    <w:rsid w:val="00ED3DED"/>
  </w:style>
  <w:style w:type="character" w:customStyle="1" w:styleId="comments-score1">
    <w:name w:val="comments-score1"/>
    <w:rsid w:val="00ED3DED"/>
    <w:rPr>
      <w:color w:val="E8531D"/>
    </w:rPr>
  </w:style>
  <w:style w:type="character" w:customStyle="1" w:styleId="infosabonner">
    <w:name w:val="infos_abonner"/>
    <w:basedOn w:val="Policepardfaut"/>
    <w:rsid w:val="00ED3DED"/>
  </w:style>
  <w:style w:type="paragraph" w:customStyle="1" w:styleId="justify1">
    <w:name w:val="justify1"/>
    <w:basedOn w:val="Normal"/>
    <w:rsid w:val="00683423"/>
    <w:pPr>
      <w:spacing w:before="140" w:after="140" w:line="288" w:lineRule="atLeast"/>
      <w:jc w:val="both"/>
    </w:pPr>
    <w:rPr>
      <w:color w:val="666666"/>
    </w:rPr>
  </w:style>
  <w:style w:type="character" w:customStyle="1" w:styleId="txtlegende1">
    <w:name w:val="txtlegende1"/>
    <w:rsid w:val="003B6BF0"/>
    <w:rPr>
      <w:i/>
      <w:iCs/>
      <w:sz w:val="22"/>
      <w:szCs w:val="22"/>
    </w:rPr>
  </w:style>
  <w:style w:type="character" w:customStyle="1" w:styleId="field-content3">
    <w:name w:val="field-content3"/>
    <w:basedOn w:val="Policepardfaut"/>
    <w:rsid w:val="007C7006"/>
  </w:style>
  <w:style w:type="paragraph" w:customStyle="1" w:styleId="Default">
    <w:name w:val="Default"/>
    <w:rsid w:val="004E4FB7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character" w:customStyle="1" w:styleId="A0">
    <w:name w:val="A0"/>
    <w:rsid w:val="004E4FB7"/>
    <w:rPr>
      <w:rFonts w:cs="Times"/>
      <w:b/>
      <w:bCs/>
      <w:color w:val="000000"/>
      <w:sz w:val="60"/>
      <w:szCs w:val="60"/>
    </w:rPr>
  </w:style>
  <w:style w:type="paragraph" w:customStyle="1" w:styleId="Pa2">
    <w:name w:val="Pa2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1">
    <w:name w:val="A1"/>
    <w:rsid w:val="004E4FB7"/>
    <w:rPr>
      <w:rFonts w:ascii="News Gothic Std" w:hAnsi="News Gothic Std" w:cs="News Gothic Std"/>
      <w:b/>
      <w:bCs/>
      <w:color w:val="000000"/>
    </w:rPr>
  </w:style>
  <w:style w:type="paragraph" w:customStyle="1" w:styleId="Pa4">
    <w:name w:val="Pa4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rsid w:val="004E4FB7"/>
    <w:rPr>
      <w:rFonts w:cs="Times"/>
      <w:b/>
      <w:bCs/>
      <w:color w:val="000000"/>
    </w:rPr>
  </w:style>
  <w:style w:type="paragraph" w:styleId="z-Hautduformulaire">
    <w:name w:val="HTML Top of Form"/>
    <w:basedOn w:val="Normal"/>
    <w:next w:val="Normal"/>
    <w:hidden/>
    <w:rsid w:val="00AA78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AA78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gras9">
    <w:name w:val="gras9"/>
    <w:rsid w:val="00120D72"/>
    <w:rPr>
      <w:rFonts w:ascii="Verdana" w:hAnsi="Verdana" w:hint="default"/>
      <w:b/>
      <w:bCs/>
      <w:color w:val="000000"/>
      <w:sz w:val="24"/>
      <w:szCs w:val="24"/>
    </w:rPr>
  </w:style>
  <w:style w:type="character" w:customStyle="1" w:styleId="spipsurligne1">
    <w:name w:val="spip_surligne1"/>
    <w:rsid w:val="00B27152"/>
    <w:rPr>
      <w:shd w:val="clear" w:color="auto" w:fill="FFFF66"/>
    </w:rPr>
  </w:style>
  <w:style w:type="paragraph" w:customStyle="1" w:styleId="pcontenu">
    <w:name w:val="p_contenu"/>
    <w:basedOn w:val="Normal"/>
    <w:rsid w:val="002A6BCA"/>
    <w:pPr>
      <w:spacing w:before="100" w:beforeAutospacing="1" w:after="100" w:afterAutospacing="1" w:line="210" w:lineRule="atLeast"/>
    </w:pPr>
    <w:rPr>
      <w:rFonts w:ascii="Verdana" w:hAnsi="Verdana"/>
      <w:color w:val="5B5B5B"/>
      <w:sz w:val="17"/>
      <w:szCs w:val="17"/>
    </w:rPr>
  </w:style>
  <w:style w:type="paragraph" w:styleId="Pieddepage">
    <w:name w:val="footer"/>
    <w:basedOn w:val="Normal"/>
    <w:link w:val="PieddepageCar"/>
    <w:uiPriority w:val="99"/>
    <w:rsid w:val="0001445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14459"/>
  </w:style>
  <w:style w:type="paragraph" w:styleId="En-tte">
    <w:name w:val="header"/>
    <w:basedOn w:val="Normal"/>
    <w:rsid w:val="00014459"/>
    <w:pPr>
      <w:tabs>
        <w:tab w:val="center" w:pos="4536"/>
        <w:tab w:val="right" w:pos="9072"/>
      </w:tabs>
    </w:pPr>
  </w:style>
  <w:style w:type="character" w:styleId="Accentuation">
    <w:name w:val="Emphasis"/>
    <w:uiPriority w:val="20"/>
    <w:qFormat/>
    <w:rsid w:val="00814E3B"/>
    <w:rPr>
      <w:i/>
      <w:iCs/>
    </w:rPr>
  </w:style>
  <w:style w:type="character" w:customStyle="1" w:styleId="Titre1Car">
    <w:name w:val="Titre 1 Car"/>
    <w:link w:val="Titre1"/>
    <w:rsid w:val="00B271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CitationHTML">
    <w:name w:val="HTML Cite"/>
    <w:uiPriority w:val="99"/>
    <w:unhideWhenUsed/>
    <w:rsid w:val="0058347E"/>
    <w:rPr>
      <w:i/>
      <w:iCs/>
    </w:rPr>
  </w:style>
  <w:style w:type="character" w:customStyle="1" w:styleId="PieddepageCar">
    <w:name w:val="Pied de page Car"/>
    <w:link w:val="Pieddepage"/>
    <w:uiPriority w:val="99"/>
    <w:rsid w:val="003A5CE6"/>
    <w:rPr>
      <w:sz w:val="24"/>
      <w:szCs w:val="24"/>
    </w:rPr>
  </w:style>
  <w:style w:type="paragraph" w:styleId="Textedebulles">
    <w:name w:val="Balloon Text"/>
    <w:basedOn w:val="Normal"/>
    <w:link w:val="TextedebullesCar"/>
    <w:rsid w:val="003A5C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A5CE6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101BE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01BE3"/>
  </w:style>
  <w:style w:type="character" w:styleId="Appelnotedebasdep">
    <w:name w:val="footnote reference"/>
    <w:uiPriority w:val="99"/>
    <w:rsid w:val="00101BE3"/>
    <w:rPr>
      <w:vertAlign w:val="superscript"/>
    </w:rPr>
  </w:style>
  <w:style w:type="character" w:styleId="Lienhypertextesuivivisit">
    <w:name w:val="FollowedHyperlink"/>
    <w:rsid w:val="00134DEF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37071B"/>
    <w:pPr>
      <w:ind w:left="720"/>
      <w:contextualSpacing/>
    </w:pPr>
  </w:style>
  <w:style w:type="character" w:customStyle="1" w:styleId="txt">
    <w:name w:val="txt"/>
    <w:basedOn w:val="Policepardfaut"/>
    <w:rsid w:val="001E1A05"/>
  </w:style>
  <w:style w:type="paragraph" w:customStyle="1" w:styleId="bodytext">
    <w:name w:val="bodytext"/>
    <w:basedOn w:val="Normal"/>
    <w:rsid w:val="00B14829"/>
    <w:pPr>
      <w:spacing w:before="100" w:beforeAutospacing="1" w:after="100" w:afterAutospacing="1"/>
    </w:pPr>
  </w:style>
  <w:style w:type="character" w:styleId="Textedelespacerserv">
    <w:name w:val="Placeholder Text"/>
    <w:basedOn w:val="Policepardfaut"/>
    <w:uiPriority w:val="99"/>
    <w:semiHidden/>
    <w:rsid w:val="00D1430F"/>
    <w:rPr>
      <w:color w:val="808080"/>
    </w:rPr>
  </w:style>
  <w:style w:type="character" w:customStyle="1" w:styleId="nowrap">
    <w:name w:val="nowrap"/>
    <w:basedOn w:val="Policepardfaut"/>
    <w:rsid w:val="00030C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26E4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B27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AA78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rsid w:val="007C70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dtxt81">
    <w:name w:val="stdtxt81"/>
    <w:rsid w:val="0060157B"/>
    <w:rPr>
      <w:color w:val="575757"/>
      <w:sz w:val="16"/>
      <w:szCs w:val="16"/>
    </w:rPr>
  </w:style>
  <w:style w:type="character" w:customStyle="1" w:styleId="stdtxt101">
    <w:name w:val="stdtxt101"/>
    <w:rsid w:val="0060157B"/>
    <w:rPr>
      <w:color w:val="575757"/>
      <w:sz w:val="20"/>
      <w:szCs w:val="20"/>
    </w:rPr>
  </w:style>
  <w:style w:type="table" w:styleId="Grilledutableau">
    <w:name w:val="Table Grid"/>
    <w:basedOn w:val="TableauNormal"/>
    <w:rsid w:val="00577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FB4D6C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264C6C"/>
    <w:rPr>
      <w:b/>
      <w:bCs/>
    </w:rPr>
  </w:style>
  <w:style w:type="character" w:styleId="Lienhypertexte">
    <w:name w:val="Hyperlink"/>
    <w:rsid w:val="00ED3DED"/>
    <w:rPr>
      <w:b/>
      <w:bCs/>
      <w:strike w:val="0"/>
      <w:dstrike w:val="0"/>
      <w:color w:val="003C50"/>
      <w:u w:val="none"/>
      <w:effect w:val="none"/>
      <w:shd w:val="clear" w:color="auto" w:fill="auto"/>
    </w:rPr>
  </w:style>
  <w:style w:type="character" w:customStyle="1" w:styleId="sign">
    <w:name w:val="sign"/>
    <w:rsid w:val="00ED3DED"/>
    <w:rPr>
      <w:color w:val="999999"/>
    </w:rPr>
  </w:style>
  <w:style w:type="character" w:customStyle="1" w:styleId="pictopicto-reagir">
    <w:name w:val="picto picto-reagir"/>
    <w:basedOn w:val="Policepardfaut"/>
    <w:rsid w:val="00ED3DED"/>
  </w:style>
  <w:style w:type="character" w:customStyle="1" w:styleId="comments-score1">
    <w:name w:val="comments-score1"/>
    <w:rsid w:val="00ED3DED"/>
    <w:rPr>
      <w:color w:val="E8531D"/>
    </w:rPr>
  </w:style>
  <w:style w:type="character" w:customStyle="1" w:styleId="infosabonner">
    <w:name w:val="infos_abonner"/>
    <w:basedOn w:val="Policepardfaut"/>
    <w:rsid w:val="00ED3DED"/>
  </w:style>
  <w:style w:type="paragraph" w:customStyle="1" w:styleId="justify1">
    <w:name w:val="justify1"/>
    <w:basedOn w:val="Normal"/>
    <w:rsid w:val="00683423"/>
    <w:pPr>
      <w:spacing w:before="140" w:after="140" w:line="288" w:lineRule="atLeast"/>
      <w:jc w:val="both"/>
    </w:pPr>
    <w:rPr>
      <w:color w:val="666666"/>
    </w:rPr>
  </w:style>
  <w:style w:type="character" w:customStyle="1" w:styleId="txtlegende1">
    <w:name w:val="txtlegende1"/>
    <w:rsid w:val="003B6BF0"/>
    <w:rPr>
      <w:i/>
      <w:iCs/>
      <w:sz w:val="22"/>
      <w:szCs w:val="22"/>
    </w:rPr>
  </w:style>
  <w:style w:type="character" w:customStyle="1" w:styleId="field-content3">
    <w:name w:val="field-content3"/>
    <w:basedOn w:val="Policepardfaut"/>
    <w:rsid w:val="007C7006"/>
  </w:style>
  <w:style w:type="paragraph" w:customStyle="1" w:styleId="Default">
    <w:name w:val="Default"/>
    <w:rsid w:val="004E4FB7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character" w:customStyle="1" w:styleId="A0">
    <w:name w:val="A0"/>
    <w:rsid w:val="004E4FB7"/>
    <w:rPr>
      <w:rFonts w:cs="Times"/>
      <w:b/>
      <w:bCs/>
      <w:color w:val="000000"/>
      <w:sz w:val="60"/>
      <w:szCs w:val="60"/>
    </w:rPr>
  </w:style>
  <w:style w:type="paragraph" w:customStyle="1" w:styleId="Pa2">
    <w:name w:val="Pa2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1">
    <w:name w:val="A1"/>
    <w:rsid w:val="004E4FB7"/>
    <w:rPr>
      <w:rFonts w:ascii="News Gothic Std" w:hAnsi="News Gothic Std" w:cs="News Gothic Std"/>
      <w:b/>
      <w:bCs/>
      <w:color w:val="000000"/>
    </w:rPr>
  </w:style>
  <w:style w:type="paragraph" w:customStyle="1" w:styleId="Pa4">
    <w:name w:val="Pa4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rsid w:val="004E4FB7"/>
    <w:rPr>
      <w:rFonts w:cs="Times"/>
      <w:b/>
      <w:bCs/>
      <w:color w:val="000000"/>
    </w:rPr>
  </w:style>
  <w:style w:type="paragraph" w:styleId="z-Hautduformulaire">
    <w:name w:val="HTML Top of Form"/>
    <w:basedOn w:val="Normal"/>
    <w:next w:val="Normal"/>
    <w:hidden/>
    <w:rsid w:val="00AA78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AA78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gras9">
    <w:name w:val="gras9"/>
    <w:rsid w:val="00120D72"/>
    <w:rPr>
      <w:rFonts w:ascii="Verdana" w:hAnsi="Verdana" w:hint="default"/>
      <w:b/>
      <w:bCs/>
      <w:color w:val="000000"/>
      <w:sz w:val="24"/>
      <w:szCs w:val="24"/>
    </w:rPr>
  </w:style>
  <w:style w:type="character" w:customStyle="1" w:styleId="spipsurligne1">
    <w:name w:val="spip_surligne1"/>
    <w:rsid w:val="00B27152"/>
    <w:rPr>
      <w:shd w:val="clear" w:color="auto" w:fill="FFFF66"/>
    </w:rPr>
  </w:style>
  <w:style w:type="paragraph" w:customStyle="1" w:styleId="pcontenu">
    <w:name w:val="p_contenu"/>
    <w:basedOn w:val="Normal"/>
    <w:rsid w:val="002A6BCA"/>
    <w:pPr>
      <w:spacing w:before="100" w:beforeAutospacing="1" w:after="100" w:afterAutospacing="1" w:line="210" w:lineRule="atLeast"/>
    </w:pPr>
    <w:rPr>
      <w:rFonts w:ascii="Verdana" w:hAnsi="Verdana"/>
      <w:color w:val="5B5B5B"/>
      <w:sz w:val="17"/>
      <w:szCs w:val="17"/>
    </w:rPr>
  </w:style>
  <w:style w:type="paragraph" w:styleId="Pieddepage">
    <w:name w:val="footer"/>
    <w:basedOn w:val="Normal"/>
    <w:link w:val="PieddepageCar"/>
    <w:uiPriority w:val="99"/>
    <w:rsid w:val="0001445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14459"/>
  </w:style>
  <w:style w:type="paragraph" w:styleId="En-tte">
    <w:name w:val="header"/>
    <w:basedOn w:val="Normal"/>
    <w:rsid w:val="00014459"/>
    <w:pPr>
      <w:tabs>
        <w:tab w:val="center" w:pos="4536"/>
        <w:tab w:val="right" w:pos="9072"/>
      </w:tabs>
    </w:pPr>
  </w:style>
  <w:style w:type="character" w:styleId="Accentuation">
    <w:name w:val="Emphasis"/>
    <w:uiPriority w:val="20"/>
    <w:qFormat/>
    <w:rsid w:val="00814E3B"/>
    <w:rPr>
      <w:i/>
      <w:iCs/>
    </w:rPr>
  </w:style>
  <w:style w:type="character" w:customStyle="1" w:styleId="Titre1Car">
    <w:name w:val="Titre 1 Car"/>
    <w:link w:val="Titre1"/>
    <w:rsid w:val="00B271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CitationHTML">
    <w:name w:val="HTML Cite"/>
    <w:uiPriority w:val="99"/>
    <w:unhideWhenUsed/>
    <w:rsid w:val="0058347E"/>
    <w:rPr>
      <w:i/>
      <w:iCs/>
    </w:rPr>
  </w:style>
  <w:style w:type="character" w:customStyle="1" w:styleId="PieddepageCar">
    <w:name w:val="Pied de page Car"/>
    <w:link w:val="Pieddepage"/>
    <w:uiPriority w:val="99"/>
    <w:rsid w:val="003A5CE6"/>
    <w:rPr>
      <w:sz w:val="24"/>
      <w:szCs w:val="24"/>
    </w:rPr>
  </w:style>
  <w:style w:type="paragraph" w:styleId="Textedebulles">
    <w:name w:val="Balloon Text"/>
    <w:basedOn w:val="Normal"/>
    <w:link w:val="TextedebullesCar"/>
    <w:rsid w:val="003A5C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A5CE6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101BE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01BE3"/>
  </w:style>
  <w:style w:type="character" w:styleId="Appelnotedebasdep">
    <w:name w:val="footnote reference"/>
    <w:uiPriority w:val="99"/>
    <w:rsid w:val="00101BE3"/>
    <w:rPr>
      <w:vertAlign w:val="superscript"/>
    </w:rPr>
  </w:style>
  <w:style w:type="character" w:styleId="Lienhypertextesuivivisit">
    <w:name w:val="FollowedHyperlink"/>
    <w:rsid w:val="00134DEF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37071B"/>
    <w:pPr>
      <w:ind w:left="720"/>
      <w:contextualSpacing/>
    </w:pPr>
  </w:style>
  <w:style w:type="character" w:customStyle="1" w:styleId="txt">
    <w:name w:val="txt"/>
    <w:basedOn w:val="Policepardfaut"/>
    <w:rsid w:val="001E1A05"/>
  </w:style>
  <w:style w:type="paragraph" w:customStyle="1" w:styleId="bodytext">
    <w:name w:val="bodytext"/>
    <w:basedOn w:val="Normal"/>
    <w:rsid w:val="00B14829"/>
    <w:pPr>
      <w:spacing w:before="100" w:beforeAutospacing="1" w:after="100" w:afterAutospacing="1"/>
    </w:pPr>
  </w:style>
  <w:style w:type="character" w:styleId="Textedelespacerserv">
    <w:name w:val="Placeholder Text"/>
    <w:basedOn w:val="Policepardfaut"/>
    <w:uiPriority w:val="99"/>
    <w:semiHidden/>
    <w:rsid w:val="00D143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0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1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52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9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14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24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85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49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58306">
                  <w:marLeft w:val="0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653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00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2503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06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37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17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34552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68424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0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23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15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07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57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34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456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93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98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33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115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98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446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606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353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8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537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7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14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298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0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61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37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2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4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12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85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895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6201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51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3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860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777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420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07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631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9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301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12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135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069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2401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36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465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336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6175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1007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678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2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4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320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726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3972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330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8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410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13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6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455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165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7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12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87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5651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122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3422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71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24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212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14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1618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26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4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82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96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2272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41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451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80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41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87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1602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672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004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337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742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7041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890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9794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6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381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28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49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5008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966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91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030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86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371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76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687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1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82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283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49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84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063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879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827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701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8428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9137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126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9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41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63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89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97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07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92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47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8324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0882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487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520532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4350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07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74251">
                      <w:marLeft w:val="11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3962">
                      <w:marLeft w:val="11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27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9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06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79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79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30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4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1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4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8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8610">
                  <w:marLeft w:val="0"/>
                  <w:marRight w:val="0"/>
                  <w:marTop w:val="0"/>
                  <w:marBottom w:val="0"/>
                  <w:divBdr>
                    <w:top w:val="single" w:sz="36" w:space="0" w:color="FFFFFF"/>
                    <w:left w:val="single" w:sz="36" w:space="0" w:color="FFFFFF"/>
                    <w:bottom w:val="single" w:sz="36" w:space="0" w:color="FFFFFF"/>
                    <w:right w:val="single" w:sz="36" w:space="0" w:color="FFFFFF"/>
                  </w:divBdr>
                  <w:divsChild>
                    <w:div w:id="174575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2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22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56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09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60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3402118">
                  <w:marLeft w:val="11670"/>
                  <w:marRight w:val="0"/>
                  <w:marTop w:val="0"/>
                  <w:marBottom w:val="0"/>
                  <w:divBdr>
                    <w:top w:val="single" w:sz="12" w:space="4" w:color="9CB6D1"/>
                    <w:left w:val="single" w:sz="12" w:space="8" w:color="9CB6D1"/>
                    <w:bottom w:val="single" w:sz="12" w:space="4" w:color="9CB6D1"/>
                    <w:right w:val="single" w:sz="12" w:space="8" w:color="9CB6D1"/>
                  </w:divBdr>
                  <w:divsChild>
                    <w:div w:id="160047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493216">
                          <w:marLeft w:val="-180"/>
                          <w:marRight w:val="0"/>
                          <w:marTop w:val="0"/>
                          <w:marBottom w:val="0"/>
                          <w:divBdr>
                            <w:top w:val="single" w:sz="12" w:space="4" w:color="9CB6D1"/>
                            <w:left w:val="single" w:sz="12" w:space="8" w:color="9CB6D1"/>
                            <w:bottom w:val="single" w:sz="12" w:space="4" w:color="9CB6D1"/>
                            <w:right w:val="single" w:sz="12" w:space="8" w:color="9CB6D1"/>
                          </w:divBdr>
                        </w:div>
                      </w:divsChild>
                    </w:div>
                  </w:divsChild>
                </w:div>
                <w:div w:id="1535730795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7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75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03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1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7476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22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0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199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2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CCCCCC"/>
                        <w:right w:val="none" w:sz="0" w:space="0" w:color="auto"/>
                      </w:divBdr>
                      <w:divsChild>
                        <w:div w:id="48000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08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31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8" w:space="0" w:color="E9E7E7"/>
                                    <w:bottom w:val="none" w:sz="0" w:space="0" w:color="auto"/>
                                    <w:right w:val="single" w:sz="18" w:space="0" w:color="E9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59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2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840932">
          <w:marLeft w:val="-2250"/>
          <w:marRight w:val="0"/>
          <w:marTop w:val="0"/>
          <w:marBottom w:val="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107462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7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1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22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20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4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264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3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0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510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864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07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99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150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09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729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9707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05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7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0267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799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619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5582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8845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79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035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499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113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4341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7153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90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339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496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495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414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013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92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626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968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913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783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528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19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830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355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59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8316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6181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5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131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961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452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1770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8172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034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47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556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299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4781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572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346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52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173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6134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792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48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61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615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32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0594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503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689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2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308">
      <w:bodyDiv w:val="1"/>
      <w:marLeft w:val="200"/>
      <w:marRight w:val="200"/>
      <w:marTop w:val="20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51161">
              <w:marLeft w:val="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5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1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9870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5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8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2486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0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43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CCCCCC"/>
                        <w:right w:val="none" w:sz="0" w:space="0" w:color="auto"/>
                      </w:divBdr>
                      <w:divsChild>
                        <w:div w:id="177786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07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94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8" w:space="0" w:color="E9E7E7"/>
                                    <w:bottom w:val="none" w:sz="0" w:space="0" w:color="auto"/>
                                    <w:right w:val="single" w:sz="18" w:space="0" w:color="E9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0CAA8-0A99-4B0B-BBC2-3362A0D13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2207</TotalTime>
  <Pages>2</Pages>
  <Words>466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Thème 3 Comment le droit encadre-t-il la relation de travail dans l’entreprise</vt:lpstr>
    </vt:vector>
  </TitlesOfParts>
  <Company/>
  <LinksUpToDate>false</LinksUpToDate>
  <CharactersWithSpaces>2689</CharactersWithSpaces>
  <SharedDoc>false</SharedDoc>
  <HLinks>
    <vt:vector size="18" baseType="variant">
      <vt:variant>
        <vt:i4>6488191</vt:i4>
      </vt:variant>
      <vt:variant>
        <vt:i4>9</vt:i4>
      </vt:variant>
      <vt:variant>
        <vt:i4>0</vt:i4>
      </vt:variant>
      <vt:variant>
        <vt:i4>5</vt:i4>
      </vt:variant>
      <vt:variant>
        <vt:lpwstr>http://www.cndp.fr/stat-apprendre/insee/croissance/pourquoi/previsions.htm</vt:lpwstr>
      </vt:variant>
      <vt:variant>
        <vt:lpwstr/>
      </vt:variant>
      <vt:variant>
        <vt:i4>4128877</vt:i4>
      </vt:variant>
      <vt:variant>
        <vt:i4>3</vt:i4>
      </vt:variant>
      <vt:variant>
        <vt:i4>0</vt:i4>
      </vt:variant>
      <vt:variant>
        <vt:i4>5</vt:i4>
      </vt:variant>
      <vt:variant>
        <vt:lpwstr>http://www.cndp.fr/stat-apprendre/insee/croissance/default.htm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http://www.cndp.fr/stat-apprendre/insee/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Thème 3 Comment le droit encadre-t-il la relation de travail dans l’entreprise</dc:title>
  <dc:creator>David</dc:creator>
  <cp:lastModifiedBy>MANCARDI</cp:lastModifiedBy>
  <cp:revision>38</cp:revision>
  <cp:lastPrinted>2011-11-29T19:54:00Z</cp:lastPrinted>
  <dcterms:created xsi:type="dcterms:W3CDTF">2011-11-20T19:35:00Z</dcterms:created>
  <dcterms:modified xsi:type="dcterms:W3CDTF">2012-04-14T15:03:00Z</dcterms:modified>
</cp:coreProperties>
</file>